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7E22E8" w:rsidP="00DF664F">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yanWhiteLogo_color" style="width:105pt;height:117pt;visibility:visible">
            <v:imagedata r:id="rId8" o:title=""/>
          </v:shape>
        </w:pict>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0134F">
      <w:pPr>
        <w:jc w:val="center"/>
        <w:rPr>
          <w:rFonts w:ascii="Arial" w:hAnsi="Arial" w:cs="Arial"/>
          <w:b/>
          <w:bCs/>
          <w:sz w:val="24"/>
          <w:szCs w:val="24"/>
        </w:rPr>
      </w:pPr>
      <w:r>
        <w:rPr>
          <w:rFonts w:ascii="Arial" w:hAnsi="Arial" w:cs="Arial"/>
          <w:b/>
          <w:bCs/>
          <w:sz w:val="24"/>
          <w:szCs w:val="24"/>
        </w:rPr>
        <w:t>SUNCOAST HOSPICE, ST. PETERSBURG</w:t>
      </w:r>
    </w:p>
    <w:p w:rsidR="00E0134F" w:rsidRDefault="00E0134F">
      <w:pPr>
        <w:jc w:val="center"/>
        <w:rPr>
          <w:rFonts w:ascii="Arial" w:hAnsi="Arial" w:cs="Arial"/>
          <w:b/>
          <w:bCs/>
          <w:sz w:val="24"/>
          <w:szCs w:val="24"/>
        </w:rPr>
      </w:pPr>
      <w:r>
        <w:rPr>
          <w:rFonts w:ascii="Arial" w:hAnsi="Arial" w:cs="Arial"/>
          <w:b/>
          <w:bCs/>
          <w:sz w:val="24"/>
          <w:szCs w:val="24"/>
        </w:rPr>
        <w:t>THURSDAY, JUNE 11, 2015</w:t>
      </w:r>
    </w:p>
    <w:p w:rsidR="00E0134F" w:rsidRDefault="00E0134F">
      <w:pPr>
        <w:jc w:val="center"/>
        <w:rPr>
          <w:rFonts w:ascii="Arial" w:hAnsi="Arial" w:cs="Arial"/>
          <w:b/>
          <w:bCs/>
          <w:sz w:val="24"/>
          <w:szCs w:val="24"/>
        </w:rPr>
      </w:pPr>
      <w:r>
        <w:rPr>
          <w:rFonts w:ascii="Arial" w:hAnsi="Arial" w:cs="Arial"/>
          <w:b/>
          <w:bCs/>
          <w:sz w:val="24"/>
          <w:szCs w:val="24"/>
        </w:rPr>
        <w:t>11:00 A.M. – 12:30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520"/>
        <w:gridCol w:w="7920"/>
      </w:tblGrid>
      <w:tr w:rsidR="00E0134F" w:rsidRPr="002752CF">
        <w:trPr>
          <w:trHeight w:val="675"/>
        </w:trPr>
        <w:tc>
          <w:tcPr>
            <w:tcW w:w="2520"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920" w:type="dxa"/>
          </w:tcPr>
          <w:p w:rsidR="00E0134F" w:rsidRPr="00637A44" w:rsidRDefault="00E0134F" w:rsidP="005A3DFE">
            <w:pPr>
              <w:pStyle w:val="BodyText2"/>
              <w:jc w:val="both"/>
              <w:rPr>
                <w:color w:val="000000"/>
              </w:rPr>
            </w:pPr>
            <w:r w:rsidRPr="00637A44">
              <w:rPr>
                <w:color w:val="000000"/>
              </w:rPr>
              <w:t xml:space="preserve">The meeting was called to order by </w:t>
            </w:r>
            <w:r>
              <w:rPr>
                <w:color w:val="000000"/>
              </w:rPr>
              <w:t xml:space="preserve">Marty Clemmons, Chair at 11:03 </w:t>
            </w:r>
            <w:r w:rsidRPr="00637A44">
              <w:rPr>
                <w:color w:val="000000"/>
              </w:rPr>
              <w:t xml:space="preserve">a.m.  </w:t>
            </w:r>
          </w:p>
        </w:tc>
      </w:tr>
      <w:tr w:rsidR="00E0134F" w:rsidRPr="002752CF">
        <w:trPr>
          <w:trHeight w:val="873"/>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ATTENDANCE</w:t>
            </w:r>
          </w:p>
        </w:tc>
        <w:tc>
          <w:tcPr>
            <w:tcW w:w="7920" w:type="dxa"/>
          </w:tcPr>
          <w:p w:rsidR="00E0134F" w:rsidRDefault="00E0134F" w:rsidP="00393BFC">
            <w:pPr>
              <w:pStyle w:val="BodyText2"/>
              <w:spacing w:after="0"/>
              <w:jc w:val="both"/>
              <w:rPr>
                <w:color w:val="000000"/>
              </w:rPr>
            </w:pPr>
            <w:r w:rsidRPr="00784065">
              <w:rPr>
                <w:color w:val="000000"/>
                <w:u w:val="single"/>
              </w:rPr>
              <w:t>Members Present:</w:t>
            </w:r>
            <w:r w:rsidRPr="00784065">
              <w:rPr>
                <w:color w:val="000000"/>
              </w:rPr>
              <w:t xml:space="preserve"> </w:t>
            </w:r>
            <w:r>
              <w:rPr>
                <w:color w:val="000000"/>
              </w:rPr>
              <w:t xml:space="preserve">Carla Baity, Ginny Boucher, </w:t>
            </w:r>
            <w:r w:rsidRPr="00F11FB5">
              <w:rPr>
                <w:color w:val="000000"/>
              </w:rPr>
              <w:t>Marty Clemmons</w:t>
            </w:r>
            <w:r>
              <w:rPr>
                <w:color w:val="000000"/>
              </w:rPr>
              <w:t>, Nolan Finn, Teri Fitzgerald, William Harper, David Konnerth, Marilyn Merida, Priya Rajkumar, Jim Roth, Elizabeth Rugg, Joy Winheim</w:t>
            </w:r>
          </w:p>
          <w:p w:rsidR="00E0134F" w:rsidRPr="00784065" w:rsidRDefault="00E0134F" w:rsidP="00393BFC">
            <w:pPr>
              <w:pStyle w:val="BodyText2"/>
              <w:spacing w:after="0"/>
              <w:jc w:val="both"/>
              <w:rPr>
                <w:color w:val="000000"/>
              </w:rPr>
            </w:pPr>
            <w:r w:rsidRPr="00784065">
              <w:rPr>
                <w:color w:val="000000"/>
                <w:u w:val="single"/>
              </w:rPr>
              <w:t>Members Absent:</w:t>
            </w:r>
            <w:r>
              <w:rPr>
                <w:color w:val="000000"/>
              </w:rPr>
              <w:t xml:space="preserve"> Keith Boyd, Brandi </w:t>
            </w:r>
            <w:r w:rsidRPr="00F11FB5">
              <w:rPr>
                <w:color w:val="000000"/>
              </w:rPr>
              <w:t>Geoit</w:t>
            </w:r>
            <w:r>
              <w:rPr>
                <w:color w:val="000000"/>
              </w:rPr>
              <w:t xml:space="preserve">, </w:t>
            </w:r>
            <w:r w:rsidRPr="00F11FB5">
              <w:rPr>
                <w:color w:val="000000"/>
              </w:rPr>
              <w:t>Joe Parramore</w:t>
            </w:r>
          </w:p>
          <w:p w:rsidR="00E0134F" w:rsidRDefault="00E0134F" w:rsidP="00393BFC">
            <w:pPr>
              <w:pStyle w:val="BodyText2"/>
              <w:spacing w:after="0"/>
              <w:jc w:val="both"/>
              <w:rPr>
                <w:color w:val="000000"/>
              </w:rPr>
            </w:pPr>
            <w:r w:rsidRPr="00784065">
              <w:rPr>
                <w:color w:val="000000"/>
                <w:u w:val="single"/>
              </w:rPr>
              <w:t>Guests Present:</w:t>
            </w:r>
            <w:r>
              <w:rPr>
                <w:color w:val="000000"/>
              </w:rPr>
              <w:t xml:space="preserve"> Vicky Oliver, Guttenberg Pierre, Jr. </w:t>
            </w:r>
          </w:p>
          <w:p w:rsidR="00E0134F" w:rsidRPr="00784065" w:rsidRDefault="00E0134F" w:rsidP="00393BFC">
            <w:pPr>
              <w:pStyle w:val="BodyText2"/>
              <w:spacing w:after="0"/>
              <w:jc w:val="both"/>
              <w:rPr>
                <w:color w:val="000000"/>
              </w:rPr>
            </w:pPr>
            <w:r w:rsidRPr="00784065">
              <w:rPr>
                <w:color w:val="000000"/>
                <w:u w:val="single"/>
              </w:rPr>
              <w:t>Grantee Staff Present:</w:t>
            </w:r>
            <w:r w:rsidRPr="00784065">
              <w:rPr>
                <w:color w:val="000000"/>
              </w:rPr>
              <w:t xml:space="preserve"> </w:t>
            </w:r>
            <w:r>
              <w:rPr>
                <w:color w:val="000000"/>
              </w:rPr>
              <w:t>Aubrey Arnold</w:t>
            </w:r>
          </w:p>
          <w:p w:rsidR="00E0134F" w:rsidRPr="00784065" w:rsidRDefault="00E0134F"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Pr>
                <w:color w:val="000000"/>
              </w:rPr>
              <w:t>Demarcus Holden</w:t>
            </w:r>
          </w:p>
          <w:p w:rsidR="00E0134F" w:rsidRPr="00784065" w:rsidRDefault="00E0134F" w:rsidP="00393BFC">
            <w:pPr>
              <w:pStyle w:val="BodyText2"/>
              <w:spacing w:after="0"/>
              <w:jc w:val="both"/>
              <w:rPr>
                <w:color w:val="000000"/>
              </w:rPr>
            </w:pPr>
            <w:r w:rsidRPr="00784065">
              <w:rPr>
                <w:color w:val="000000"/>
                <w:u w:val="single"/>
              </w:rPr>
              <w:t>Health Councils Staff Present:</w:t>
            </w:r>
            <w:r w:rsidRPr="00784065">
              <w:rPr>
                <w:color w:val="000000"/>
              </w:rPr>
              <w:t xml:space="preserve"> </w:t>
            </w:r>
            <w:r>
              <w:rPr>
                <w:color w:val="000000"/>
              </w:rPr>
              <w:t>Julie Gnage</w:t>
            </w:r>
          </w:p>
          <w:p w:rsidR="00E0134F" w:rsidRPr="002752CF" w:rsidRDefault="00E0134F" w:rsidP="00393BFC">
            <w:pPr>
              <w:pStyle w:val="BodyText2"/>
              <w:spacing w:after="0"/>
              <w:jc w:val="both"/>
              <w:rPr>
                <w:color w:val="0000FF"/>
                <w:sz w:val="16"/>
                <w:szCs w:val="16"/>
              </w:rPr>
            </w:pPr>
          </w:p>
        </w:tc>
      </w:tr>
      <w:tr w:rsidR="00E0134F" w:rsidRPr="002752CF">
        <w:trPr>
          <w:trHeight w:val="720"/>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920" w:type="dxa"/>
          </w:tcPr>
          <w:p w:rsidR="00E0134F" w:rsidRPr="001A03E9" w:rsidRDefault="00E0134F" w:rsidP="007918CF">
            <w:pPr>
              <w:pStyle w:val="BodyText2"/>
              <w:jc w:val="both"/>
              <w:rPr>
                <w:color w:val="000000"/>
              </w:rPr>
            </w:pPr>
            <w:r>
              <w:rPr>
                <w:color w:val="000000"/>
              </w:rPr>
              <w:t xml:space="preserve">There were no changes to the agenda. </w:t>
            </w:r>
          </w:p>
        </w:tc>
      </w:tr>
      <w:tr w:rsidR="00E0134F" w:rsidRPr="002752CF">
        <w:trPr>
          <w:trHeight w:val="720"/>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ADOPTION OF MINUTES</w:t>
            </w:r>
          </w:p>
        </w:tc>
        <w:tc>
          <w:tcPr>
            <w:tcW w:w="7920" w:type="dxa"/>
          </w:tcPr>
          <w:p w:rsidR="00E0134F" w:rsidRPr="007D39FF" w:rsidRDefault="00E0134F" w:rsidP="00D03592">
            <w:pPr>
              <w:pStyle w:val="BodyText2"/>
              <w:jc w:val="both"/>
              <w:rPr>
                <w:b/>
                <w:bCs/>
                <w:color w:val="000000"/>
              </w:rPr>
            </w:pPr>
            <w:r>
              <w:rPr>
                <w:b/>
                <w:bCs/>
                <w:color w:val="000000"/>
              </w:rPr>
              <w:t xml:space="preserve">The minutes for March 12, 2015 </w:t>
            </w:r>
            <w:r w:rsidRPr="007D39FF">
              <w:rPr>
                <w:b/>
                <w:bCs/>
                <w:color w:val="000000"/>
              </w:rPr>
              <w:t>were approved (M:</w:t>
            </w:r>
            <w:r>
              <w:rPr>
                <w:b/>
                <w:bCs/>
                <w:color w:val="000000"/>
              </w:rPr>
              <w:t xml:space="preserve"> Finn</w:t>
            </w:r>
            <w:r w:rsidRPr="007D39FF">
              <w:rPr>
                <w:b/>
                <w:bCs/>
                <w:color w:val="000000"/>
              </w:rPr>
              <w:t>, S:</w:t>
            </w:r>
            <w:r>
              <w:rPr>
                <w:b/>
                <w:bCs/>
                <w:color w:val="000000"/>
              </w:rPr>
              <w:t xml:space="preserve"> Roth</w:t>
            </w:r>
            <w:r w:rsidRPr="007D39FF">
              <w:rPr>
                <w:b/>
                <w:bCs/>
                <w:color w:val="000000"/>
              </w:rPr>
              <w:t xml:space="preserve">).  </w:t>
            </w:r>
          </w:p>
        </w:tc>
      </w:tr>
      <w:tr w:rsidR="00E0134F" w:rsidRPr="002752CF">
        <w:trPr>
          <w:trHeight w:val="720"/>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CARE COUNCIL REPORT</w:t>
            </w:r>
          </w:p>
        </w:tc>
        <w:tc>
          <w:tcPr>
            <w:tcW w:w="7920" w:type="dxa"/>
          </w:tcPr>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Marty Clemmons gave the Care Council report for the meeting held on June 1, 2015 at the Children’s Board of Hillsborough County. </w:t>
            </w: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Dorinda Seth announced that the grantee’s office received the full notice of grant award for the 2015-2016 grant year. The award represents a 3.5% increase over last year for an award amount of $10,282,968. The increase was seen in all pieces of the award (supplemental, Minority AIDS Initiative, and core).  The grantee’s office is asking current providers about unmet needs, and will bring allocation recommendations to the Resource Prioritization and Allocation Recommendations Committee (RPARC) next week. </w:t>
            </w: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Dorinda shared that a replacement to CAREWare was secured and the </w:t>
            </w:r>
            <w:r>
              <w:rPr>
                <w:rFonts w:ascii="Arial" w:hAnsi="Arial" w:cs="Arial"/>
                <w:color w:val="000000"/>
                <w:sz w:val="24"/>
                <w:szCs w:val="24"/>
              </w:rPr>
              <w:lastRenderedPageBreak/>
              <w:t xml:space="preserve">new system will formally begin on January 1, 2016. </w:t>
            </w: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Demarcus Holden provided an update on the local Insurance Services Program (ISP). The ISP program was experiencing a shortfall of funds due to increased demand and would have run out of money to assist clients this month. The Lead Agency was able to find funding in the General Revenue (GR) contract to bolster the program for the coming months with $43,000.</w:t>
            </w: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noted that Ryan White providers might be getting phone calls from Jeffery Storm about a CAREWare users form. All users need to complete a form if there are any questions, contact Demarcus. </w:t>
            </w: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Part B finished their monitoring for all contracts and are currently fully staffed.  </w:t>
            </w: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welcomed Julie Gnage on board as the new Ryan White Planner. </w:t>
            </w: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sz w:val="24"/>
                <w:szCs w:val="24"/>
              </w:rPr>
              <w:t>Lisa asked all members to complete a new confidentiality and alternate form. Members were instructed not to write in “Any Associate Member” as their alternate as there are no associate members at this time.  Members were also reminded to tell staff when they were going to be absent from Care Council and to send their alternate whenever possible. Three absences are allowed from Care Council per year. Absences are excused in the case of illness. Members asked that excused absences be looked into further to expand the definition of what constitutes an excused absence from a Care Council meeting.</w:t>
            </w: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One new member application was presented and passed by acclamation. The Care Council welcomed Ginger Rockey-Johnson as a voting member. </w:t>
            </w: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The next Care Council meeting will be July 1, 2015.</w:t>
            </w:r>
          </w:p>
          <w:p w:rsidR="00E0134F" w:rsidRPr="00C75095"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tc>
      </w:tr>
      <w:tr w:rsidR="00E0134F" w:rsidRPr="002752CF">
        <w:trPr>
          <w:trHeight w:val="279"/>
        </w:trPr>
        <w:tc>
          <w:tcPr>
            <w:tcW w:w="2520" w:type="dxa"/>
          </w:tcPr>
          <w:p w:rsidR="00E0134F" w:rsidRDefault="00E0134F" w:rsidP="00C12EBA">
            <w:pPr>
              <w:rPr>
                <w:rFonts w:ascii="Arial" w:hAnsi="Arial" w:cs="Arial"/>
                <w:b/>
                <w:bCs/>
                <w:color w:val="000000"/>
                <w:sz w:val="24"/>
                <w:szCs w:val="24"/>
              </w:rPr>
            </w:pPr>
            <w:r>
              <w:rPr>
                <w:rFonts w:ascii="Arial" w:hAnsi="Arial" w:cs="Arial"/>
                <w:b/>
                <w:bCs/>
                <w:color w:val="000000"/>
                <w:sz w:val="24"/>
                <w:szCs w:val="24"/>
              </w:rPr>
              <w:lastRenderedPageBreak/>
              <w:t>EXPENDITURE REPORTS</w:t>
            </w:r>
          </w:p>
        </w:tc>
        <w:tc>
          <w:tcPr>
            <w:tcW w:w="7920" w:type="dxa"/>
          </w:tcPr>
          <w:p w:rsidR="00E0134F" w:rsidRDefault="00E0134F" w:rsidP="00F7383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Aubrey Arnold presented the expenditure report for the Part A, which represents the final expenditure report for fiscal year March 2014-February 2015. Almost every item is at 100% as displayed in the right hand column. The final fiscal report (FFR) will show only around $100,000 unspent. </w:t>
            </w:r>
          </w:p>
          <w:p w:rsidR="00E0134F" w:rsidRDefault="007E22E8" w:rsidP="007E22E8">
            <w:pPr>
              <w:tabs>
                <w:tab w:val="left" w:pos="1785"/>
              </w:tabs>
              <w:autoSpaceDE w:val="0"/>
              <w:autoSpaceDN w:val="0"/>
              <w:adjustRightInd w:val="0"/>
              <w:jc w:val="both"/>
              <w:rPr>
                <w:rFonts w:ascii="Arial" w:hAnsi="Arial" w:cs="Arial"/>
                <w:color w:val="000000"/>
                <w:sz w:val="24"/>
                <w:szCs w:val="24"/>
              </w:rPr>
            </w:pPr>
            <w:r>
              <w:rPr>
                <w:rFonts w:ascii="Arial" w:hAnsi="Arial" w:cs="Arial"/>
                <w:color w:val="000000"/>
                <w:sz w:val="24"/>
                <w:szCs w:val="24"/>
              </w:rPr>
              <w:tab/>
            </w:r>
          </w:p>
          <w:p w:rsidR="00E0134F" w:rsidRDefault="00E0134F" w:rsidP="00F7383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Demarcus Holden presented the two different expenditure reports for the Lead Agency. The first one represents the Ryan White Part B fiscal year March 2014- February 2015. </w:t>
            </w:r>
            <w:r w:rsidR="00FF0640" w:rsidRPr="007E22E8">
              <w:rPr>
                <w:rFonts w:ascii="Arial" w:hAnsi="Arial" w:cs="Arial"/>
                <w:color w:val="000000"/>
                <w:sz w:val="24"/>
                <w:szCs w:val="24"/>
              </w:rPr>
              <w:t>For t</w:t>
            </w:r>
            <w:r w:rsidRPr="007E22E8">
              <w:rPr>
                <w:rFonts w:ascii="Arial" w:hAnsi="Arial" w:cs="Arial"/>
                <w:color w:val="000000"/>
                <w:sz w:val="24"/>
                <w:szCs w:val="24"/>
              </w:rPr>
              <w:t xml:space="preserve">he </w:t>
            </w:r>
            <w:r w:rsidR="003B04A1" w:rsidRPr="007E22E8">
              <w:rPr>
                <w:rFonts w:ascii="Arial" w:hAnsi="Arial" w:cs="Arial"/>
                <w:color w:val="000000"/>
                <w:sz w:val="24"/>
                <w:szCs w:val="24"/>
              </w:rPr>
              <w:t xml:space="preserve">categories that show spending rates over 100%, </w:t>
            </w:r>
            <w:r w:rsidR="00932185" w:rsidRPr="007E22E8">
              <w:rPr>
                <w:rFonts w:ascii="Arial" w:hAnsi="Arial" w:cs="Arial"/>
                <w:color w:val="000000"/>
                <w:sz w:val="24"/>
                <w:szCs w:val="24"/>
              </w:rPr>
              <w:t xml:space="preserve">it </w:t>
            </w:r>
            <w:r w:rsidR="003B04A1" w:rsidRPr="007E22E8">
              <w:rPr>
                <w:rFonts w:ascii="Arial" w:hAnsi="Arial" w:cs="Arial"/>
                <w:color w:val="000000"/>
                <w:sz w:val="24"/>
                <w:szCs w:val="24"/>
              </w:rPr>
              <w:t>should be noted that there was a reallocation of funds into that category</w:t>
            </w:r>
            <w:r w:rsidR="00932185" w:rsidRPr="007E22E8">
              <w:rPr>
                <w:rFonts w:ascii="Arial" w:hAnsi="Arial" w:cs="Arial"/>
                <w:color w:val="000000"/>
                <w:sz w:val="24"/>
                <w:szCs w:val="24"/>
              </w:rPr>
              <w:t xml:space="preserve"> from another category</w:t>
            </w:r>
            <w:r w:rsidRPr="007E22E8">
              <w:rPr>
                <w:rFonts w:ascii="Arial" w:hAnsi="Arial" w:cs="Arial"/>
                <w:color w:val="000000"/>
                <w:sz w:val="24"/>
                <w:szCs w:val="24"/>
              </w:rPr>
              <w:t>.</w:t>
            </w:r>
            <w:r>
              <w:rPr>
                <w:rFonts w:ascii="Arial" w:hAnsi="Arial" w:cs="Arial"/>
                <w:color w:val="000000"/>
                <w:sz w:val="24"/>
                <w:szCs w:val="24"/>
              </w:rPr>
              <w:t xml:space="preserve"> A total amount of $6,755 is shown to be unspent. </w:t>
            </w:r>
          </w:p>
          <w:p w:rsidR="00E0134F" w:rsidRDefault="00E0134F" w:rsidP="00F73831">
            <w:pPr>
              <w:autoSpaceDE w:val="0"/>
              <w:autoSpaceDN w:val="0"/>
              <w:adjustRightInd w:val="0"/>
              <w:jc w:val="both"/>
              <w:rPr>
                <w:rFonts w:ascii="Arial" w:hAnsi="Arial" w:cs="Arial"/>
                <w:color w:val="000000"/>
                <w:sz w:val="24"/>
                <w:szCs w:val="24"/>
              </w:rPr>
            </w:pPr>
          </w:p>
          <w:p w:rsidR="00E0134F" w:rsidRDefault="00E0134F"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second expenditure report represents PCN/General Revenue for </w:t>
            </w:r>
            <w:r>
              <w:rPr>
                <w:rFonts w:ascii="Arial" w:hAnsi="Arial" w:cs="Arial"/>
                <w:color w:val="000000"/>
                <w:sz w:val="24"/>
                <w:szCs w:val="24"/>
              </w:rPr>
              <w:lastRenderedPageBreak/>
              <w:t xml:space="preserve">the State of Florida fiscal year July 2014 – June 2015. A few of the providers show that they are behind on spending so they will be encouraged to meet spending paces to ensure proper spending percentages. </w:t>
            </w:r>
          </w:p>
          <w:p w:rsidR="00E0134F" w:rsidRDefault="00E0134F" w:rsidP="00C75095">
            <w:pPr>
              <w:autoSpaceDE w:val="0"/>
              <w:autoSpaceDN w:val="0"/>
              <w:adjustRightInd w:val="0"/>
              <w:rPr>
                <w:rFonts w:ascii="Arial" w:hAnsi="Arial" w:cs="Arial"/>
                <w:color w:val="000000"/>
                <w:sz w:val="24"/>
                <w:szCs w:val="24"/>
              </w:rPr>
            </w:pPr>
          </w:p>
        </w:tc>
      </w:tr>
      <w:tr w:rsidR="00E0134F" w:rsidRPr="002752CF">
        <w:trPr>
          <w:trHeight w:val="279"/>
        </w:trPr>
        <w:tc>
          <w:tcPr>
            <w:tcW w:w="2520" w:type="dxa"/>
          </w:tcPr>
          <w:p w:rsidR="00E0134F" w:rsidRDefault="00E0134F" w:rsidP="00452A5C">
            <w:pPr>
              <w:rPr>
                <w:rFonts w:ascii="Arial" w:hAnsi="Arial" w:cs="Arial"/>
                <w:b/>
                <w:bCs/>
                <w:color w:val="000000"/>
                <w:sz w:val="24"/>
                <w:szCs w:val="24"/>
              </w:rPr>
            </w:pPr>
            <w:r>
              <w:rPr>
                <w:rFonts w:ascii="Arial" w:hAnsi="Arial" w:cs="Arial"/>
                <w:b/>
                <w:bCs/>
                <w:color w:val="000000"/>
                <w:sz w:val="24"/>
                <w:szCs w:val="24"/>
              </w:rPr>
              <w:lastRenderedPageBreak/>
              <w:t>PART A 2015-2016 ALLOCATION RECOMMEN-DATIONS</w:t>
            </w:r>
          </w:p>
        </w:tc>
        <w:tc>
          <w:tcPr>
            <w:tcW w:w="7920" w:type="dxa"/>
          </w:tcPr>
          <w:p w:rsidR="00E0134F" w:rsidRDefault="00E0134F" w:rsidP="0036326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Aubrey Arnold presented the Part A Allocation Recommendations for the 3.5% increase in additional allocations totaling $343,320.20 for the fiscal year. $49,012.80 will automatically be allocated to Quality management, which will include the new database to be made operational by the end of this year. The recommendations are based on the results of a survey issued to all of the providers and the previous utilization of funds. The recommendation for the remaining $294,307.40 to the following: </w:t>
            </w:r>
          </w:p>
          <w:p w:rsidR="00E0134F" w:rsidRDefault="00E0134F" w:rsidP="0036326E">
            <w:pPr>
              <w:autoSpaceDE w:val="0"/>
              <w:autoSpaceDN w:val="0"/>
              <w:adjustRightInd w:val="0"/>
              <w:jc w:val="both"/>
              <w:rPr>
                <w:rFonts w:ascii="Arial" w:hAnsi="Arial" w:cs="Arial"/>
                <w:color w:val="000000"/>
                <w:sz w:val="24"/>
                <w:szCs w:val="24"/>
              </w:rPr>
            </w:pPr>
          </w:p>
          <w:p w:rsidR="00E0134F" w:rsidRDefault="00E0134F" w:rsidP="005B1F58">
            <w:pPr>
              <w:pStyle w:val="ListParagraph"/>
              <w:numPr>
                <w:ilvl w:val="0"/>
                <w:numId w:val="7"/>
              </w:numPr>
              <w:autoSpaceDE w:val="0"/>
              <w:autoSpaceDN w:val="0"/>
              <w:adjustRightInd w:val="0"/>
              <w:jc w:val="both"/>
              <w:rPr>
                <w:rFonts w:ascii="Arial" w:hAnsi="Arial" w:cs="Arial"/>
                <w:color w:val="000000"/>
                <w:sz w:val="24"/>
                <w:szCs w:val="24"/>
              </w:rPr>
            </w:pPr>
            <w:r>
              <w:rPr>
                <w:rFonts w:ascii="Arial" w:hAnsi="Arial" w:cs="Arial"/>
                <w:color w:val="000000"/>
                <w:sz w:val="24"/>
                <w:szCs w:val="24"/>
              </w:rPr>
              <w:t>I</w:t>
            </w:r>
            <w:r w:rsidRPr="005B1F58">
              <w:rPr>
                <w:rFonts w:ascii="Arial" w:hAnsi="Arial" w:cs="Arial"/>
                <w:color w:val="000000"/>
                <w:sz w:val="24"/>
                <w:szCs w:val="24"/>
              </w:rPr>
              <w:t>ncrease Medical Case Management in Hillsborough County an additional $100,000</w:t>
            </w:r>
            <w:r>
              <w:rPr>
                <w:rFonts w:ascii="Arial" w:hAnsi="Arial" w:cs="Arial"/>
                <w:color w:val="000000"/>
                <w:sz w:val="24"/>
                <w:szCs w:val="24"/>
              </w:rPr>
              <w:t>.</w:t>
            </w:r>
          </w:p>
          <w:p w:rsidR="00E0134F" w:rsidRDefault="00E0134F" w:rsidP="005B1F58">
            <w:pPr>
              <w:pStyle w:val="ListParagraph"/>
              <w:numPr>
                <w:ilvl w:val="0"/>
                <w:numId w:val="7"/>
              </w:numPr>
              <w:autoSpaceDE w:val="0"/>
              <w:autoSpaceDN w:val="0"/>
              <w:adjustRightInd w:val="0"/>
              <w:jc w:val="both"/>
              <w:rPr>
                <w:rFonts w:ascii="Arial" w:hAnsi="Arial" w:cs="Arial"/>
                <w:color w:val="000000"/>
                <w:sz w:val="24"/>
                <w:szCs w:val="24"/>
              </w:rPr>
            </w:pPr>
            <w:r>
              <w:rPr>
                <w:rFonts w:ascii="Arial" w:hAnsi="Arial" w:cs="Arial"/>
                <w:color w:val="000000"/>
                <w:sz w:val="24"/>
                <w:szCs w:val="24"/>
              </w:rPr>
              <w:t>I</w:t>
            </w:r>
            <w:r w:rsidRPr="005B1F58">
              <w:rPr>
                <w:rFonts w:ascii="Arial" w:hAnsi="Arial" w:cs="Arial"/>
                <w:color w:val="000000"/>
                <w:sz w:val="24"/>
                <w:szCs w:val="24"/>
              </w:rPr>
              <w:t>ncrease Medical Case Management</w:t>
            </w:r>
            <w:r>
              <w:rPr>
                <w:rFonts w:ascii="Arial" w:hAnsi="Arial" w:cs="Arial"/>
                <w:color w:val="000000"/>
                <w:sz w:val="24"/>
                <w:szCs w:val="24"/>
              </w:rPr>
              <w:t xml:space="preserve"> in Pinellas County an additional $65,000. </w:t>
            </w:r>
          </w:p>
          <w:p w:rsidR="00E0134F" w:rsidRDefault="00E0134F" w:rsidP="005B1F58">
            <w:pPr>
              <w:pStyle w:val="ListParagraph"/>
              <w:numPr>
                <w:ilvl w:val="0"/>
                <w:numId w:val="7"/>
              </w:numPr>
              <w:autoSpaceDE w:val="0"/>
              <w:autoSpaceDN w:val="0"/>
              <w:adjustRightInd w:val="0"/>
              <w:jc w:val="both"/>
              <w:rPr>
                <w:rFonts w:ascii="Arial" w:hAnsi="Arial" w:cs="Arial"/>
                <w:color w:val="000000"/>
                <w:sz w:val="24"/>
                <w:szCs w:val="24"/>
              </w:rPr>
            </w:pPr>
            <w:r>
              <w:rPr>
                <w:rFonts w:ascii="Arial" w:hAnsi="Arial" w:cs="Arial"/>
                <w:color w:val="000000"/>
                <w:sz w:val="24"/>
                <w:szCs w:val="24"/>
              </w:rPr>
              <w:t>Increase Insurance Services Program in the EMA an additional $122,344.</w:t>
            </w:r>
          </w:p>
          <w:p w:rsidR="00E0134F" w:rsidRPr="005B1F58" w:rsidRDefault="00E0134F" w:rsidP="005B1F58">
            <w:pPr>
              <w:pStyle w:val="ListParagraph"/>
              <w:numPr>
                <w:ilvl w:val="0"/>
                <w:numId w:val="7"/>
              </w:numPr>
              <w:autoSpaceDE w:val="0"/>
              <w:autoSpaceDN w:val="0"/>
              <w:adjustRightInd w:val="0"/>
              <w:jc w:val="both"/>
              <w:rPr>
                <w:rFonts w:ascii="Arial" w:hAnsi="Arial" w:cs="Arial"/>
                <w:color w:val="000000"/>
                <w:sz w:val="24"/>
                <w:szCs w:val="24"/>
              </w:rPr>
            </w:pPr>
            <w:r>
              <w:rPr>
                <w:rFonts w:ascii="Arial" w:hAnsi="Arial" w:cs="Arial"/>
                <w:color w:val="000000"/>
                <w:sz w:val="24"/>
                <w:szCs w:val="24"/>
              </w:rPr>
              <w:t>Increase Treatment Adherence-African American/Black in Hillsborough County an additional $6,963.40</w:t>
            </w:r>
          </w:p>
          <w:p w:rsidR="00E0134F" w:rsidRDefault="00E0134F" w:rsidP="0036326E">
            <w:pPr>
              <w:autoSpaceDE w:val="0"/>
              <w:autoSpaceDN w:val="0"/>
              <w:adjustRightInd w:val="0"/>
              <w:jc w:val="both"/>
              <w:rPr>
                <w:rFonts w:ascii="Arial" w:hAnsi="Arial" w:cs="Arial"/>
                <w:color w:val="000000"/>
                <w:sz w:val="24"/>
                <w:szCs w:val="24"/>
              </w:rPr>
            </w:pPr>
          </w:p>
          <w:p w:rsidR="00E0134F" w:rsidRPr="00727B1F" w:rsidRDefault="00E0134F" w:rsidP="0036326E">
            <w:pPr>
              <w:autoSpaceDE w:val="0"/>
              <w:autoSpaceDN w:val="0"/>
              <w:adjustRightInd w:val="0"/>
              <w:jc w:val="both"/>
              <w:rPr>
                <w:rFonts w:ascii="Arial" w:hAnsi="Arial" w:cs="Arial"/>
                <w:sz w:val="24"/>
                <w:szCs w:val="24"/>
              </w:rPr>
            </w:pPr>
            <w:r>
              <w:rPr>
                <w:rFonts w:ascii="Arial" w:hAnsi="Arial" w:cs="Arial"/>
                <w:color w:val="000000"/>
                <w:sz w:val="24"/>
                <w:szCs w:val="24"/>
              </w:rPr>
              <w:t xml:space="preserve">Members discussed proposed allocations and their ranking of core services. It was noted that not all top ranking core services submitted a request for additional funding. The only category that was unable to be met was for an Increase in Medical Case Management for inmates. The allocation recommendations were approved by </w:t>
            </w:r>
            <w:r>
              <w:rPr>
                <w:rFonts w:ascii="Arial" w:hAnsi="Arial" w:cs="Arial"/>
                <w:sz w:val="24"/>
                <w:szCs w:val="24"/>
              </w:rPr>
              <w:t xml:space="preserve">acclamation </w:t>
            </w:r>
            <w:r>
              <w:rPr>
                <w:rFonts w:ascii="Arial" w:hAnsi="Arial" w:cs="Arial"/>
                <w:b/>
                <w:bCs/>
                <w:sz w:val="24"/>
                <w:szCs w:val="24"/>
              </w:rPr>
              <w:t xml:space="preserve">(M: Harper S: Merida). </w:t>
            </w:r>
          </w:p>
          <w:p w:rsidR="00E0134F" w:rsidRPr="00D03592" w:rsidRDefault="00E0134F" w:rsidP="0036326E">
            <w:pPr>
              <w:autoSpaceDE w:val="0"/>
              <w:autoSpaceDN w:val="0"/>
              <w:adjustRightInd w:val="0"/>
              <w:jc w:val="both"/>
              <w:rPr>
                <w:rFonts w:ascii="Arial" w:hAnsi="Arial" w:cs="Arial"/>
                <w:color w:val="000000"/>
                <w:sz w:val="24"/>
                <w:szCs w:val="24"/>
              </w:rPr>
            </w:pPr>
          </w:p>
        </w:tc>
      </w:tr>
      <w:tr w:rsidR="00E0134F" w:rsidRPr="002752CF">
        <w:trPr>
          <w:trHeight w:val="279"/>
        </w:trPr>
        <w:tc>
          <w:tcPr>
            <w:tcW w:w="2520" w:type="dxa"/>
          </w:tcPr>
          <w:p w:rsidR="00E0134F" w:rsidRDefault="00E0134F">
            <w:pPr>
              <w:rPr>
                <w:rFonts w:ascii="Arial" w:hAnsi="Arial" w:cs="Arial"/>
                <w:b/>
                <w:bCs/>
                <w:color w:val="000000"/>
                <w:sz w:val="24"/>
                <w:szCs w:val="24"/>
              </w:rPr>
            </w:pPr>
            <w:r>
              <w:rPr>
                <w:rFonts w:ascii="Arial" w:hAnsi="Arial" w:cs="Arial"/>
                <w:b/>
                <w:bCs/>
                <w:color w:val="000000"/>
                <w:sz w:val="24"/>
                <w:szCs w:val="24"/>
              </w:rPr>
              <w:t>PLWHA TRANSITION INTO THE MARKETPLACE</w:t>
            </w:r>
          </w:p>
          <w:p w:rsidR="00E0134F" w:rsidRDefault="00E0134F">
            <w:pPr>
              <w:rPr>
                <w:rFonts w:ascii="Arial" w:hAnsi="Arial" w:cs="Arial"/>
                <w:b/>
                <w:bCs/>
                <w:color w:val="000000"/>
                <w:sz w:val="24"/>
                <w:szCs w:val="24"/>
              </w:rPr>
            </w:pPr>
          </w:p>
          <w:p w:rsidR="00E0134F" w:rsidRDefault="00E0134F">
            <w:pPr>
              <w:rPr>
                <w:rFonts w:ascii="Arial" w:hAnsi="Arial" w:cs="Arial"/>
                <w:b/>
                <w:bCs/>
                <w:color w:val="000000"/>
                <w:sz w:val="24"/>
                <w:szCs w:val="24"/>
              </w:rPr>
            </w:pPr>
          </w:p>
        </w:tc>
        <w:tc>
          <w:tcPr>
            <w:tcW w:w="7920" w:type="dxa"/>
          </w:tcPr>
          <w:p w:rsidR="00E0134F" w:rsidRDefault="00E0134F" w:rsidP="00727B1F">
            <w:pPr>
              <w:spacing w:before="120" w:after="120"/>
              <w:jc w:val="both"/>
              <w:rPr>
                <w:rFonts w:ascii="Arial" w:hAnsi="Arial" w:cs="Arial"/>
                <w:color w:val="000000"/>
                <w:sz w:val="24"/>
                <w:szCs w:val="24"/>
              </w:rPr>
            </w:pPr>
            <w:bookmarkStart w:id="0" w:name="_GoBack"/>
            <w:r>
              <w:rPr>
                <w:rFonts w:ascii="Arial" w:hAnsi="Arial" w:cs="Arial"/>
                <w:color w:val="000000"/>
                <w:sz w:val="24"/>
                <w:szCs w:val="24"/>
              </w:rPr>
              <w:t xml:space="preserve">Jim Roth announced that the Governor signed the HIV testing bill into law. This will enable patients to opt out rather than opt into HIV testing within the clinical setting. </w:t>
            </w:r>
          </w:p>
          <w:p w:rsidR="00E0134F" w:rsidRPr="005C5DCB" w:rsidRDefault="00E0134F" w:rsidP="005C5DCB">
            <w:pPr>
              <w:spacing w:before="120" w:after="120"/>
              <w:jc w:val="both"/>
              <w:rPr>
                <w:rFonts w:ascii="Arial" w:hAnsi="Arial" w:cs="Arial"/>
                <w:color w:val="000000"/>
                <w:sz w:val="24"/>
                <w:szCs w:val="24"/>
              </w:rPr>
            </w:pPr>
            <w:r>
              <w:rPr>
                <w:rFonts w:ascii="Arial" w:hAnsi="Arial" w:cs="Arial"/>
                <w:color w:val="000000"/>
                <w:sz w:val="24"/>
                <w:szCs w:val="24"/>
              </w:rPr>
              <w:t>Jim Roth gave an update from the Pre –exposure Prophylaxis (PrEP)/ Non-occupational Post-exposure Prophylaxis (NPEP) meeting on June 9</w:t>
            </w:r>
            <w:r w:rsidRPr="00FD611B">
              <w:rPr>
                <w:rFonts w:ascii="Arial" w:hAnsi="Arial" w:cs="Arial"/>
                <w:color w:val="000000"/>
                <w:sz w:val="24"/>
                <w:szCs w:val="24"/>
                <w:vertAlign w:val="superscript"/>
              </w:rPr>
              <w:t>th</w:t>
            </w:r>
            <w:r>
              <w:rPr>
                <w:rFonts w:ascii="Arial" w:hAnsi="Arial" w:cs="Arial"/>
                <w:color w:val="000000"/>
                <w:sz w:val="24"/>
                <w:szCs w:val="24"/>
              </w:rPr>
              <w:t>-10</w:t>
            </w:r>
            <w:r w:rsidRPr="00FD611B">
              <w:rPr>
                <w:rFonts w:ascii="Arial" w:hAnsi="Arial" w:cs="Arial"/>
                <w:color w:val="000000"/>
                <w:sz w:val="24"/>
                <w:szCs w:val="24"/>
                <w:vertAlign w:val="superscript"/>
              </w:rPr>
              <w:t>th</w:t>
            </w:r>
            <w:r>
              <w:rPr>
                <w:rFonts w:ascii="Arial" w:hAnsi="Arial" w:cs="Arial"/>
                <w:color w:val="000000"/>
                <w:sz w:val="24"/>
                <w:szCs w:val="24"/>
              </w:rPr>
              <w:t xml:space="preserve"> 2015 in Orlando this was for strategic planning for both PrEP and NPEP in the state of Florida. Members discussed the medications as well as the future directions of these medications within the state</w:t>
            </w:r>
            <w:bookmarkEnd w:id="0"/>
            <w:r>
              <w:rPr>
                <w:rFonts w:ascii="Arial" w:hAnsi="Arial" w:cs="Arial"/>
                <w:color w:val="000000"/>
                <w:sz w:val="24"/>
                <w:szCs w:val="24"/>
              </w:rPr>
              <w:t xml:space="preserve">.  </w:t>
            </w:r>
          </w:p>
          <w:p w:rsidR="00E0134F" w:rsidRPr="00BD2D21" w:rsidRDefault="00E0134F" w:rsidP="003632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E0134F" w:rsidRPr="002752CF">
        <w:trPr>
          <w:trHeight w:val="279"/>
        </w:trPr>
        <w:tc>
          <w:tcPr>
            <w:tcW w:w="2520" w:type="dxa"/>
          </w:tcPr>
          <w:p w:rsidR="00E0134F" w:rsidRPr="00CE0E53" w:rsidRDefault="00E0134F">
            <w:pPr>
              <w:rPr>
                <w:rFonts w:ascii="Arial" w:hAnsi="Arial" w:cs="Arial"/>
                <w:b/>
                <w:bCs/>
                <w:color w:val="000000"/>
                <w:sz w:val="24"/>
                <w:szCs w:val="24"/>
              </w:rPr>
            </w:pPr>
            <w:r>
              <w:rPr>
                <w:rFonts w:ascii="Arial" w:hAnsi="Arial" w:cs="Arial"/>
                <w:b/>
                <w:bCs/>
                <w:color w:val="000000"/>
                <w:sz w:val="24"/>
                <w:szCs w:val="24"/>
              </w:rPr>
              <w:t>ACA AND MEDICAID MANAGED CARE UPDATE</w:t>
            </w:r>
          </w:p>
        </w:tc>
        <w:tc>
          <w:tcPr>
            <w:tcW w:w="7920" w:type="dxa"/>
          </w:tcPr>
          <w:p w:rsidR="00E0134F" w:rsidRDefault="00E0134F"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Teri Fitzgerald noted that there are no recent updates from the Agency for Health Care Administration (AHCA).  </w:t>
            </w:r>
          </w:p>
          <w:p w:rsidR="00E0134F" w:rsidRDefault="00E0134F"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E0134F" w:rsidRDefault="00E0134F"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E0134F" w:rsidRPr="00BD2D21" w:rsidRDefault="00E0134F"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E0134F" w:rsidRPr="002752CF">
        <w:trPr>
          <w:trHeight w:val="747"/>
        </w:trPr>
        <w:tc>
          <w:tcPr>
            <w:tcW w:w="2520" w:type="dxa"/>
          </w:tcPr>
          <w:p w:rsidR="00E0134F" w:rsidRDefault="00E0134F" w:rsidP="00E76DD7">
            <w:pPr>
              <w:pStyle w:val="Heading3"/>
              <w:keepNext w:val="0"/>
              <w:spacing w:before="120"/>
              <w:rPr>
                <w:color w:val="000000"/>
                <w:sz w:val="24"/>
                <w:szCs w:val="24"/>
              </w:rPr>
            </w:pPr>
            <w:r>
              <w:rPr>
                <w:color w:val="000000"/>
                <w:sz w:val="24"/>
                <w:szCs w:val="24"/>
              </w:rPr>
              <w:lastRenderedPageBreak/>
              <w:t>COMMUNITY INPUT/</w:t>
            </w:r>
          </w:p>
          <w:p w:rsidR="00E0134F" w:rsidRPr="002266FE" w:rsidRDefault="00E0134F" w:rsidP="00E76DD7">
            <w:pPr>
              <w:pStyle w:val="Heading3"/>
              <w:keepNext w:val="0"/>
              <w:spacing w:before="120"/>
              <w:rPr>
                <w:color w:val="000000"/>
                <w:sz w:val="24"/>
                <w:szCs w:val="24"/>
              </w:rPr>
            </w:pPr>
            <w:r>
              <w:rPr>
                <w:color w:val="000000"/>
                <w:sz w:val="24"/>
                <w:szCs w:val="24"/>
              </w:rPr>
              <w:t>ANNOUNCEMENTS</w:t>
            </w:r>
          </w:p>
        </w:tc>
        <w:tc>
          <w:tcPr>
            <w:tcW w:w="7920" w:type="dxa"/>
          </w:tcPr>
          <w:p w:rsidR="00E0134F" w:rsidRDefault="00E0134F" w:rsidP="00452A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Priya Rajkumar announced that Metro will be expanding on July 6</w:t>
            </w:r>
            <w:r w:rsidRPr="005A4F3E">
              <w:rPr>
                <w:rFonts w:ascii="Arial" w:hAnsi="Arial" w:cs="Arial"/>
                <w:color w:val="000000"/>
                <w:sz w:val="24"/>
                <w:szCs w:val="24"/>
                <w:vertAlign w:val="superscript"/>
              </w:rPr>
              <w:t>th</w:t>
            </w:r>
            <w:r>
              <w:rPr>
                <w:rFonts w:ascii="Arial" w:hAnsi="Arial" w:cs="Arial"/>
                <w:color w:val="000000"/>
                <w:sz w:val="24"/>
                <w:szCs w:val="24"/>
                <w:vertAlign w:val="superscript"/>
              </w:rPr>
              <w:t>.</w:t>
            </w:r>
            <w:r>
              <w:rPr>
                <w:rFonts w:ascii="Arial" w:hAnsi="Arial" w:cs="Arial"/>
                <w:color w:val="000000"/>
                <w:sz w:val="24"/>
                <w:szCs w:val="24"/>
              </w:rPr>
              <w:t xml:space="preserve"> They will be starting primary care services as well as an OB/GYN focusing on the LGBTQ population. Metro will also be  providing hormone replacement therapies as well as PEP and NPEP services. Both locations will start this practice part time hoping to expand full time in the coming months. </w:t>
            </w:r>
          </w:p>
          <w:p w:rsidR="00E0134F" w:rsidRDefault="00E0134F" w:rsidP="00452A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William Harper announced that the AIDS Walk and family fun run will be on December 12</w:t>
            </w:r>
            <w:r w:rsidRPr="005A4F3E">
              <w:rPr>
                <w:rFonts w:ascii="Arial" w:hAnsi="Arial" w:cs="Arial"/>
                <w:color w:val="000000"/>
                <w:sz w:val="24"/>
                <w:szCs w:val="24"/>
                <w:vertAlign w:val="superscript"/>
              </w:rPr>
              <w:t>th</w:t>
            </w:r>
            <w:r>
              <w:rPr>
                <w:rFonts w:ascii="Arial" w:hAnsi="Arial" w:cs="Arial"/>
                <w:color w:val="000000"/>
                <w:sz w:val="24"/>
                <w:szCs w:val="24"/>
              </w:rPr>
              <w:t xml:space="preserve"> not in September as it has been traditionally held in the past. Also, it was just released that ASAP will be starting a new medical home 30-50 which will be partnered with Pinellas Care Clinic.</w:t>
            </w:r>
            <w:r w:rsidRPr="00C447F1">
              <w:rPr>
                <w:rFonts w:ascii="Arial" w:hAnsi="Arial" w:cs="Arial"/>
                <w:color w:val="FF0000"/>
                <w:sz w:val="24"/>
                <w:szCs w:val="24"/>
              </w:rPr>
              <w:t xml:space="preserve"> </w:t>
            </w:r>
            <w:r>
              <w:rPr>
                <w:rFonts w:ascii="Arial" w:hAnsi="Arial" w:cs="Arial"/>
                <w:color w:val="000000"/>
                <w:sz w:val="24"/>
                <w:szCs w:val="24"/>
              </w:rPr>
              <w:t xml:space="preserve">Which will offer services in three different phases as the home grows from HIV services to pediatric care. It will be a one stop shop and will have a grand opening in October. </w:t>
            </w:r>
          </w:p>
          <w:p w:rsidR="00E0134F" w:rsidRPr="00637A44" w:rsidRDefault="00E0134F" w:rsidP="004129A1">
            <w:pPr>
              <w:spacing w:before="120" w:after="120"/>
              <w:rPr>
                <w:rFonts w:ascii="Arial" w:hAnsi="Arial" w:cs="Arial"/>
                <w:color w:val="000000"/>
                <w:sz w:val="24"/>
                <w:szCs w:val="24"/>
              </w:rPr>
            </w:pPr>
            <w:r>
              <w:rPr>
                <w:rFonts w:ascii="Arial" w:hAnsi="Arial" w:cs="Arial"/>
                <w:color w:val="000000"/>
                <w:sz w:val="24"/>
                <w:szCs w:val="24"/>
              </w:rPr>
              <w:t xml:space="preserve"> </w:t>
            </w:r>
          </w:p>
        </w:tc>
      </w:tr>
      <w:tr w:rsidR="00E0134F" w:rsidRPr="002752CF">
        <w:trPr>
          <w:trHeight w:val="747"/>
        </w:trPr>
        <w:tc>
          <w:tcPr>
            <w:tcW w:w="2520" w:type="dxa"/>
          </w:tcPr>
          <w:p w:rsidR="00E0134F" w:rsidRPr="002266FE" w:rsidRDefault="00E0134F" w:rsidP="00E76DD7">
            <w:pPr>
              <w:pStyle w:val="Heading3"/>
              <w:keepNext w:val="0"/>
              <w:spacing w:before="120"/>
              <w:rPr>
                <w:b w:val="0"/>
                <w:bCs w:val="0"/>
                <w:color w:val="000000"/>
                <w:sz w:val="24"/>
                <w:szCs w:val="24"/>
              </w:rPr>
            </w:pPr>
            <w:r w:rsidRPr="002266FE">
              <w:rPr>
                <w:color w:val="000000"/>
                <w:sz w:val="24"/>
                <w:szCs w:val="24"/>
              </w:rPr>
              <w:t>ADJOURNMENT</w:t>
            </w:r>
          </w:p>
        </w:tc>
        <w:tc>
          <w:tcPr>
            <w:tcW w:w="7920" w:type="dxa"/>
          </w:tcPr>
          <w:p w:rsidR="00E0134F" w:rsidRPr="00637A44" w:rsidRDefault="00E0134F" w:rsidP="00DC7892">
            <w:pPr>
              <w:spacing w:before="120" w:after="120"/>
              <w:rPr>
                <w:rFonts w:ascii="Arial" w:hAnsi="Arial" w:cs="Arial"/>
                <w:color w:val="000000"/>
                <w:sz w:val="24"/>
                <w:szCs w:val="24"/>
              </w:rPr>
            </w:pPr>
            <w:r w:rsidRPr="00637A44">
              <w:rPr>
                <w:rFonts w:ascii="Arial" w:hAnsi="Arial" w:cs="Arial"/>
                <w:color w:val="000000"/>
                <w:sz w:val="24"/>
                <w:szCs w:val="24"/>
              </w:rPr>
              <w:t>There being no furth</w:t>
            </w:r>
            <w:r>
              <w:rPr>
                <w:rFonts w:ascii="Arial" w:hAnsi="Arial" w:cs="Arial"/>
                <w:color w:val="000000"/>
                <w:sz w:val="24"/>
                <w:szCs w:val="24"/>
              </w:rPr>
              <w:t>er business to come before the c</w:t>
            </w:r>
            <w:r w:rsidRPr="00637A44">
              <w:rPr>
                <w:rFonts w:ascii="Arial" w:hAnsi="Arial" w:cs="Arial"/>
                <w:color w:val="000000"/>
                <w:sz w:val="24"/>
                <w:szCs w:val="24"/>
              </w:rPr>
              <w:t>ommittee, th</w:t>
            </w:r>
            <w:r>
              <w:rPr>
                <w:rFonts w:ascii="Arial" w:hAnsi="Arial" w:cs="Arial"/>
                <w:color w:val="000000"/>
                <w:sz w:val="24"/>
                <w:szCs w:val="24"/>
              </w:rPr>
              <w:t>e meeting was adjourned at 12:09 p</w:t>
            </w:r>
            <w:r w:rsidRPr="00637A44">
              <w:rPr>
                <w:rFonts w:ascii="Arial" w:hAnsi="Arial" w:cs="Arial"/>
                <w:color w:val="000000"/>
                <w:sz w:val="24"/>
                <w:szCs w:val="24"/>
              </w:rPr>
              <w:t>.m.</w:t>
            </w:r>
          </w:p>
        </w:tc>
      </w:tr>
    </w:tbl>
    <w:p w:rsidR="00E0134F" w:rsidRPr="00055D2C" w:rsidRDefault="00E0134F" w:rsidP="00055D2C"/>
    <w:sectPr w:rsidR="00E0134F" w:rsidRPr="00055D2C" w:rsidSect="006F1758">
      <w:footerReference w:type="default" r:id="rId9"/>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2E8">
      <w:rPr>
        <w:rStyle w:val="PageNumber"/>
        <w:noProof/>
      </w:rPr>
      <w:t>3</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7E22E8">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SHC 2015 Logo (Small)" style="width:1in;height:34.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B40"/>
    <w:rsid w:val="000003EC"/>
    <w:rsid w:val="00001A61"/>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67CBF"/>
    <w:rsid w:val="000818A3"/>
    <w:rsid w:val="00082B96"/>
    <w:rsid w:val="00086222"/>
    <w:rsid w:val="0009020B"/>
    <w:rsid w:val="00090CC4"/>
    <w:rsid w:val="000921D2"/>
    <w:rsid w:val="000978FB"/>
    <w:rsid w:val="000A1993"/>
    <w:rsid w:val="000B25FE"/>
    <w:rsid w:val="000B6CB9"/>
    <w:rsid w:val="000B79B4"/>
    <w:rsid w:val="000C0013"/>
    <w:rsid w:val="000C029D"/>
    <w:rsid w:val="000C53AB"/>
    <w:rsid w:val="000D2AD2"/>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40292"/>
    <w:rsid w:val="00140F0A"/>
    <w:rsid w:val="00141004"/>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5960"/>
    <w:rsid w:val="001B6D60"/>
    <w:rsid w:val="001C187F"/>
    <w:rsid w:val="001D0B40"/>
    <w:rsid w:val="001D1490"/>
    <w:rsid w:val="001D1E2B"/>
    <w:rsid w:val="001D44FC"/>
    <w:rsid w:val="001D6E2B"/>
    <w:rsid w:val="001D7A31"/>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6863"/>
    <w:rsid w:val="002474C9"/>
    <w:rsid w:val="00254637"/>
    <w:rsid w:val="00254729"/>
    <w:rsid w:val="00262C46"/>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4613"/>
    <w:rsid w:val="002E3EF1"/>
    <w:rsid w:val="002E4C50"/>
    <w:rsid w:val="002E5377"/>
    <w:rsid w:val="002E622E"/>
    <w:rsid w:val="002E6611"/>
    <w:rsid w:val="002F23D9"/>
    <w:rsid w:val="002F334F"/>
    <w:rsid w:val="00300275"/>
    <w:rsid w:val="003042AC"/>
    <w:rsid w:val="00304E9D"/>
    <w:rsid w:val="003062E8"/>
    <w:rsid w:val="003071F3"/>
    <w:rsid w:val="00315344"/>
    <w:rsid w:val="0031660B"/>
    <w:rsid w:val="00316A31"/>
    <w:rsid w:val="00316D35"/>
    <w:rsid w:val="00320B02"/>
    <w:rsid w:val="00322A9D"/>
    <w:rsid w:val="0032437B"/>
    <w:rsid w:val="00335167"/>
    <w:rsid w:val="0033696C"/>
    <w:rsid w:val="00344066"/>
    <w:rsid w:val="00354F88"/>
    <w:rsid w:val="0036131E"/>
    <w:rsid w:val="003630CD"/>
    <w:rsid w:val="0036326E"/>
    <w:rsid w:val="00367F2D"/>
    <w:rsid w:val="00370419"/>
    <w:rsid w:val="00380026"/>
    <w:rsid w:val="0038229D"/>
    <w:rsid w:val="00382302"/>
    <w:rsid w:val="00382E8F"/>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4310"/>
    <w:rsid w:val="0046468F"/>
    <w:rsid w:val="00464CFC"/>
    <w:rsid w:val="004707DC"/>
    <w:rsid w:val="00470F03"/>
    <w:rsid w:val="00472908"/>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7E3"/>
    <w:rsid w:val="00525AA0"/>
    <w:rsid w:val="00531E5E"/>
    <w:rsid w:val="00532176"/>
    <w:rsid w:val="0053537A"/>
    <w:rsid w:val="0054351B"/>
    <w:rsid w:val="00546914"/>
    <w:rsid w:val="00550770"/>
    <w:rsid w:val="00554029"/>
    <w:rsid w:val="00561E63"/>
    <w:rsid w:val="00564801"/>
    <w:rsid w:val="005763C0"/>
    <w:rsid w:val="005812B8"/>
    <w:rsid w:val="00581A97"/>
    <w:rsid w:val="005847CF"/>
    <w:rsid w:val="00584EDA"/>
    <w:rsid w:val="005A1500"/>
    <w:rsid w:val="005A3211"/>
    <w:rsid w:val="005A3DFE"/>
    <w:rsid w:val="005A414A"/>
    <w:rsid w:val="005A4B26"/>
    <w:rsid w:val="005A4F3E"/>
    <w:rsid w:val="005A613E"/>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F1D7A"/>
    <w:rsid w:val="005F6FAA"/>
    <w:rsid w:val="005F7D04"/>
    <w:rsid w:val="00603864"/>
    <w:rsid w:val="00603AFE"/>
    <w:rsid w:val="0061732A"/>
    <w:rsid w:val="0061765B"/>
    <w:rsid w:val="00620522"/>
    <w:rsid w:val="006229AD"/>
    <w:rsid w:val="00626D5F"/>
    <w:rsid w:val="0063663D"/>
    <w:rsid w:val="00637A44"/>
    <w:rsid w:val="006400BC"/>
    <w:rsid w:val="00644645"/>
    <w:rsid w:val="00657897"/>
    <w:rsid w:val="006629ED"/>
    <w:rsid w:val="00665DA7"/>
    <w:rsid w:val="00670FB0"/>
    <w:rsid w:val="00674757"/>
    <w:rsid w:val="0067541F"/>
    <w:rsid w:val="00676DF9"/>
    <w:rsid w:val="00684F05"/>
    <w:rsid w:val="00694D72"/>
    <w:rsid w:val="006951E5"/>
    <w:rsid w:val="006A005D"/>
    <w:rsid w:val="006A1063"/>
    <w:rsid w:val="006A17C6"/>
    <w:rsid w:val="006A18F7"/>
    <w:rsid w:val="006A3C0B"/>
    <w:rsid w:val="006A5652"/>
    <w:rsid w:val="006A5FAC"/>
    <w:rsid w:val="006B17C5"/>
    <w:rsid w:val="006B228A"/>
    <w:rsid w:val="006C776F"/>
    <w:rsid w:val="006C78C3"/>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5610"/>
    <w:rsid w:val="00774A37"/>
    <w:rsid w:val="00776DD3"/>
    <w:rsid w:val="00781499"/>
    <w:rsid w:val="00781F2A"/>
    <w:rsid w:val="00782E48"/>
    <w:rsid w:val="0078305A"/>
    <w:rsid w:val="00784065"/>
    <w:rsid w:val="00787101"/>
    <w:rsid w:val="007918CF"/>
    <w:rsid w:val="0079474F"/>
    <w:rsid w:val="00797C44"/>
    <w:rsid w:val="007A1F9D"/>
    <w:rsid w:val="007A3194"/>
    <w:rsid w:val="007B5E48"/>
    <w:rsid w:val="007B7126"/>
    <w:rsid w:val="007C5AE8"/>
    <w:rsid w:val="007C6614"/>
    <w:rsid w:val="007C7F78"/>
    <w:rsid w:val="007D176D"/>
    <w:rsid w:val="007D3147"/>
    <w:rsid w:val="007D39FF"/>
    <w:rsid w:val="007D3AED"/>
    <w:rsid w:val="007E19AB"/>
    <w:rsid w:val="007E1FD2"/>
    <w:rsid w:val="007E22E8"/>
    <w:rsid w:val="007E438C"/>
    <w:rsid w:val="007F73B7"/>
    <w:rsid w:val="00804508"/>
    <w:rsid w:val="008053BE"/>
    <w:rsid w:val="00805A5D"/>
    <w:rsid w:val="0081038B"/>
    <w:rsid w:val="0081045A"/>
    <w:rsid w:val="0081070B"/>
    <w:rsid w:val="00811657"/>
    <w:rsid w:val="00811A59"/>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68A3"/>
    <w:rsid w:val="008808C6"/>
    <w:rsid w:val="00882894"/>
    <w:rsid w:val="00885254"/>
    <w:rsid w:val="00891C48"/>
    <w:rsid w:val="00893FA0"/>
    <w:rsid w:val="00895A10"/>
    <w:rsid w:val="0089667A"/>
    <w:rsid w:val="008A0695"/>
    <w:rsid w:val="008A1465"/>
    <w:rsid w:val="008A191E"/>
    <w:rsid w:val="008A2095"/>
    <w:rsid w:val="008A7E66"/>
    <w:rsid w:val="008B177E"/>
    <w:rsid w:val="008B43B0"/>
    <w:rsid w:val="008B4763"/>
    <w:rsid w:val="008C2EE6"/>
    <w:rsid w:val="008C4FF6"/>
    <w:rsid w:val="008C7D21"/>
    <w:rsid w:val="008D2256"/>
    <w:rsid w:val="008D3E52"/>
    <w:rsid w:val="008E4C4A"/>
    <w:rsid w:val="008E6F54"/>
    <w:rsid w:val="008F0961"/>
    <w:rsid w:val="008F346B"/>
    <w:rsid w:val="00901AA1"/>
    <w:rsid w:val="009024A9"/>
    <w:rsid w:val="009106EA"/>
    <w:rsid w:val="00912644"/>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70F28"/>
    <w:rsid w:val="00982731"/>
    <w:rsid w:val="00983D12"/>
    <w:rsid w:val="00994377"/>
    <w:rsid w:val="00994EE1"/>
    <w:rsid w:val="0099766A"/>
    <w:rsid w:val="009A294D"/>
    <w:rsid w:val="009B32DD"/>
    <w:rsid w:val="009B4082"/>
    <w:rsid w:val="009B6205"/>
    <w:rsid w:val="009B6B75"/>
    <w:rsid w:val="009C174A"/>
    <w:rsid w:val="009C18E6"/>
    <w:rsid w:val="009D186B"/>
    <w:rsid w:val="009D388E"/>
    <w:rsid w:val="009D6FB8"/>
    <w:rsid w:val="009D7EF7"/>
    <w:rsid w:val="009D7F32"/>
    <w:rsid w:val="009E1409"/>
    <w:rsid w:val="009E4E79"/>
    <w:rsid w:val="009F6AE2"/>
    <w:rsid w:val="00A01CBA"/>
    <w:rsid w:val="00A022CD"/>
    <w:rsid w:val="00A03955"/>
    <w:rsid w:val="00A03E9D"/>
    <w:rsid w:val="00A07DB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27EA"/>
    <w:rsid w:val="00A845BE"/>
    <w:rsid w:val="00A8470D"/>
    <w:rsid w:val="00A8485C"/>
    <w:rsid w:val="00A84F8D"/>
    <w:rsid w:val="00A8577F"/>
    <w:rsid w:val="00A86476"/>
    <w:rsid w:val="00A972E8"/>
    <w:rsid w:val="00AA03CE"/>
    <w:rsid w:val="00AA1046"/>
    <w:rsid w:val="00AA5B23"/>
    <w:rsid w:val="00AB2594"/>
    <w:rsid w:val="00AC14A2"/>
    <w:rsid w:val="00AC3113"/>
    <w:rsid w:val="00AC3256"/>
    <w:rsid w:val="00AC64A6"/>
    <w:rsid w:val="00AD6F84"/>
    <w:rsid w:val="00AE1609"/>
    <w:rsid w:val="00AF3F43"/>
    <w:rsid w:val="00AF4CD8"/>
    <w:rsid w:val="00AF5E91"/>
    <w:rsid w:val="00AF6B5D"/>
    <w:rsid w:val="00AF7270"/>
    <w:rsid w:val="00B10A03"/>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72C1"/>
    <w:rsid w:val="00B90D1D"/>
    <w:rsid w:val="00B9248F"/>
    <w:rsid w:val="00B92B2E"/>
    <w:rsid w:val="00B96996"/>
    <w:rsid w:val="00B96F80"/>
    <w:rsid w:val="00BA15D3"/>
    <w:rsid w:val="00BA2E80"/>
    <w:rsid w:val="00BA696D"/>
    <w:rsid w:val="00BA69AA"/>
    <w:rsid w:val="00BB4DC5"/>
    <w:rsid w:val="00BB63CD"/>
    <w:rsid w:val="00BC3C45"/>
    <w:rsid w:val="00BD1539"/>
    <w:rsid w:val="00BD2D21"/>
    <w:rsid w:val="00BD401A"/>
    <w:rsid w:val="00BE1451"/>
    <w:rsid w:val="00BE216B"/>
    <w:rsid w:val="00BE3906"/>
    <w:rsid w:val="00BE7720"/>
    <w:rsid w:val="00BE77FA"/>
    <w:rsid w:val="00BF2464"/>
    <w:rsid w:val="00BF2D42"/>
    <w:rsid w:val="00BF2ED8"/>
    <w:rsid w:val="00C00074"/>
    <w:rsid w:val="00C013E3"/>
    <w:rsid w:val="00C049B8"/>
    <w:rsid w:val="00C0760E"/>
    <w:rsid w:val="00C07B01"/>
    <w:rsid w:val="00C1151B"/>
    <w:rsid w:val="00C11E25"/>
    <w:rsid w:val="00C121DA"/>
    <w:rsid w:val="00C12EBA"/>
    <w:rsid w:val="00C131EB"/>
    <w:rsid w:val="00C1348B"/>
    <w:rsid w:val="00C2568C"/>
    <w:rsid w:val="00C25F38"/>
    <w:rsid w:val="00C26242"/>
    <w:rsid w:val="00C2642B"/>
    <w:rsid w:val="00C337D4"/>
    <w:rsid w:val="00C36380"/>
    <w:rsid w:val="00C373C4"/>
    <w:rsid w:val="00C40422"/>
    <w:rsid w:val="00C40B5A"/>
    <w:rsid w:val="00C40E0D"/>
    <w:rsid w:val="00C447F1"/>
    <w:rsid w:val="00C4504D"/>
    <w:rsid w:val="00C47F73"/>
    <w:rsid w:val="00C56B3C"/>
    <w:rsid w:val="00C6241F"/>
    <w:rsid w:val="00C67E1B"/>
    <w:rsid w:val="00C70166"/>
    <w:rsid w:val="00C75095"/>
    <w:rsid w:val="00C80705"/>
    <w:rsid w:val="00C8110E"/>
    <w:rsid w:val="00C8311F"/>
    <w:rsid w:val="00C8396D"/>
    <w:rsid w:val="00C85171"/>
    <w:rsid w:val="00C875CC"/>
    <w:rsid w:val="00C87F40"/>
    <w:rsid w:val="00C93D43"/>
    <w:rsid w:val="00C947FB"/>
    <w:rsid w:val="00C951FF"/>
    <w:rsid w:val="00CA3624"/>
    <w:rsid w:val="00CA523B"/>
    <w:rsid w:val="00CA5FE6"/>
    <w:rsid w:val="00CB2486"/>
    <w:rsid w:val="00CB4B39"/>
    <w:rsid w:val="00CB7D44"/>
    <w:rsid w:val="00CC5220"/>
    <w:rsid w:val="00CC681B"/>
    <w:rsid w:val="00CC7E9E"/>
    <w:rsid w:val="00CD0C82"/>
    <w:rsid w:val="00CD5076"/>
    <w:rsid w:val="00CD6869"/>
    <w:rsid w:val="00CE0E53"/>
    <w:rsid w:val="00CE184D"/>
    <w:rsid w:val="00CF1A0D"/>
    <w:rsid w:val="00CF7788"/>
    <w:rsid w:val="00D03592"/>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92EF4"/>
    <w:rsid w:val="00D95EE0"/>
    <w:rsid w:val="00DA0D31"/>
    <w:rsid w:val="00DA26F3"/>
    <w:rsid w:val="00DA482B"/>
    <w:rsid w:val="00DA4B2E"/>
    <w:rsid w:val="00DB0497"/>
    <w:rsid w:val="00DB27A4"/>
    <w:rsid w:val="00DB5167"/>
    <w:rsid w:val="00DB5E34"/>
    <w:rsid w:val="00DB75A3"/>
    <w:rsid w:val="00DB79D8"/>
    <w:rsid w:val="00DC2756"/>
    <w:rsid w:val="00DC56E6"/>
    <w:rsid w:val="00DC7892"/>
    <w:rsid w:val="00DD004E"/>
    <w:rsid w:val="00DD08D1"/>
    <w:rsid w:val="00DD2A44"/>
    <w:rsid w:val="00DD608E"/>
    <w:rsid w:val="00DE315E"/>
    <w:rsid w:val="00DE63AD"/>
    <w:rsid w:val="00DF10F4"/>
    <w:rsid w:val="00DF1CA1"/>
    <w:rsid w:val="00DF4B2B"/>
    <w:rsid w:val="00DF660F"/>
    <w:rsid w:val="00DF664F"/>
    <w:rsid w:val="00E0134F"/>
    <w:rsid w:val="00E025E7"/>
    <w:rsid w:val="00E0371C"/>
    <w:rsid w:val="00E06202"/>
    <w:rsid w:val="00E240A7"/>
    <w:rsid w:val="00E254D4"/>
    <w:rsid w:val="00E26131"/>
    <w:rsid w:val="00E27A41"/>
    <w:rsid w:val="00E3198F"/>
    <w:rsid w:val="00E3517A"/>
    <w:rsid w:val="00E50E40"/>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1FB5"/>
    <w:rsid w:val="00F12B3B"/>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32E5"/>
    <w:rsid w:val="00F85A7C"/>
    <w:rsid w:val="00F9034C"/>
    <w:rsid w:val="00F91BD2"/>
    <w:rsid w:val="00F92E55"/>
    <w:rsid w:val="00F9430D"/>
    <w:rsid w:val="00F958BB"/>
    <w:rsid w:val="00F97E10"/>
    <w:rsid w:val="00FA3CD9"/>
    <w:rsid w:val="00FC4ED9"/>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uiPriority w:val="99"/>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semiHidden/>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4</Pages>
  <Words>1050</Words>
  <Characters>5986</Characters>
  <Application>Microsoft Office Word</Application>
  <DocSecurity>0</DocSecurity>
  <Lines>49</Lines>
  <Paragraphs>14</Paragraphs>
  <ScaleCrop>false</ScaleCrop>
  <Company>Suncoast Health Council</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dc:description/>
  <cp:lastModifiedBy>Julie Gnage</cp:lastModifiedBy>
  <cp:revision>17</cp:revision>
  <cp:lastPrinted>2011-12-13T15:53:00Z</cp:lastPrinted>
  <dcterms:created xsi:type="dcterms:W3CDTF">2015-06-16T17:28:00Z</dcterms:created>
  <dcterms:modified xsi:type="dcterms:W3CDTF">2015-06-29T20:11:00Z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