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461F38">
        <w:rPr>
          <w:rFonts w:ascii="Arial" w:hAnsi="Arial" w:cs="Arial"/>
          <w:b/>
          <w:bCs/>
          <w:sz w:val="24"/>
          <w:szCs w:val="24"/>
        </w:rPr>
        <w:t>MAY 12, 2016</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990E15">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1B0AD0">
              <w:rPr>
                <w:color w:val="000000"/>
              </w:rPr>
              <w:t>11:00</w:t>
            </w:r>
            <w:r>
              <w:rPr>
                <w:color w:val="000000"/>
              </w:rPr>
              <w:t xml:space="preserve"> </w:t>
            </w:r>
            <w:r w:rsidRPr="00637A44">
              <w:rPr>
                <w:color w:val="000000"/>
              </w:rPr>
              <w:t xml:space="preserve">a.m.  </w:t>
            </w:r>
          </w:p>
        </w:tc>
      </w:tr>
      <w:tr w:rsidR="00E0134F" w:rsidRPr="002752CF" w:rsidTr="00912D3E">
        <w:trPr>
          <w:trHeight w:val="873"/>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706" w:type="dxa"/>
          </w:tcPr>
          <w:p w:rsidR="00E0134F" w:rsidRDefault="00E0134F" w:rsidP="00393BFC">
            <w:pPr>
              <w:pStyle w:val="BodyText2"/>
              <w:spacing w:after="0"/>
              <w:jc w:val="both"/>
              <w:rPr>
                <w:color w:val="000000"/>
              </w:rPr>
            </w:pPr>
            <w:r w:rsidRPr="00784065">
              <w:rPr>
                <w:color w:val="000000"/>
                <w:u w:val="single"/>
              </w:rPr>
              <w:t>Members Present:</w:t>
            </w:r>
            <w:r w:rsidR="00772761">
              <w:rPr>
                <w:color w:val="000000"/>
              </w:rPr>
              <w:t xml:space="preserve"> </w:t>
            </w:r>
            <w:r w:rsidR="001B0AD0">
              <w:rPr>
                <w:color w:val="000000"/>
              </w:rPr>
              <w:t xml:space="preserve">Carla </w:t>
            </w:r>
            <w:proofErr w:type="spellStart"/>
            <w:r w:rsidR="001B0AD0">
              <w:rPr>
                <w:color w:val="000000"/>
              </w:rPr>
              <w:t>Baity</w:t>
            </w:r>
            <w:proofErr w:type="spellEnd"/>
            <w:r w:rsidR="001B0AD0">
              <w:rPr>
                <w:color w:val="000000"/>
              </w:rPr>
              <w:t xml:space="preserve">, </w:t>
            </w:r>
            <w:r w:rsidR="00EA5A13">
              <w:rPr>
                <w:color w:val="000000"/>
              </w:rPr>
              <w:t xml:space="preserve">Marty Clemmons, </w:t>
            </w:r>
            <w:r>
              <w:rPr>
                <w:color w:val="000000"/>
              </w:rPr>
              <w:t xml:space="preserve">Nolan Finn, </w:t>
            </w:r>
            <w:r w:rsidR="0031760B">
              <w:rPr>
                <w:color w:val="000000"/>
              </w:rPr>
              <w:t xml:space="preserve">Nicole Frigel, </w:t>
            </w:r>
            <w:r w:rsidR="008B42E1">
              <w:rPr>
                <w:color w:val="000000"/>
              </w:rPr>
              <w:t xml:space="preserve">Brandi </w:t>
            </w:r>
            <w:r w:rsidR="008B42E1" w:rsidRPr="00F11FB5">
              <w:rPr>
                <w:color w:val="000000"/>
              </w:rPr>
              <w:t>Geoit</w:t>
            </w:r>
            <w:r w:rsidR="00772761">
              <w:rPr>
                <w:color w:val="000000"/>
              </w:rPr>
              <w:t xml:space="preserve">, </w:t>
            </w:r>
            <w:r w:rsidR="00EA5A13">
              <w:rPr>
                <w:color w:val="000000"/>
              </w:rPr>
              <w:t xml:space="preserve">Charlie Hughes, </w:t>
            </w:r>
            <w:r w:rsidR="00365711">
              <w:rPr>
                <w:color w:val="000000"/>
              </w:rPr>
              <w:t xml:space="preserve">David Konnerth, </w:t>
            </w:r>
            <w:r w:rsidR="00EA5A13">
              <w:rPr>
                <w:color w:val="000000"/>
              </w:rPr>
              <w:t xml:space="preserve">Priya Rajkumar, </w:t>
            </w:r>
            <w:r w:rsidR="00EA5A13">
              <w:rPr>
                <w:color w:val="000000"/>
              </w:rPr>
              <w:t>Jim Roth</w:t>
            </w:r>
            <w:r w:rsidR="00EA5A13">
              <w:rPr>
                <w:color w:val="000000"/>
              </w:rPr>
              <w:t>,</w:t>
            </w:r>
            <w:r w:rsidR="00990E15" w:rsidRPr="00365711">
              <w:rPr>
                <w:color w:val="000000"/>
              </w:rPr>
              <w:t xml:space="preserve"> </w:t>
            </w:r>
            <w:r w:rsidR="00772761" w:rsidRPr="00365711">
              <w:rPr>
                <w:color w:val="000000"/>
              </w:rPr>
              <w:t>Elizabeth Rugg</w:t>
            </w:r>
            <w:r w:rsidR="00772761">
              <w:rPr>
                <w:color w:val="000000"/>
              </w:rPr>
              <w:t xml:space="preserve">, </w:t>
            </w:r>
            <w:r w:rsidR="00772761" w:rsidRPr="00365711">
              <w:rPr>
                <w:color w:val="000000"/>
              </w:rPr>
              <w:t xml:space="preserve">Joy </w:t>
            </w:r>
            <w:proofErr w:type="spellStart"/>
            <w:r w:rsidR="00772761" w:rsidRPr="00365711">
              <w:rPr>
                <w:color w:val="000000"/>
              </w:rPr>
              <w:t>Winheim</w:t>
            </w:r>
            <w:proofErr w:type="spellEnd"/>
          </w:p>
          <w:p w:rsidR="00E0134F" w:rsidRPr="00784065" w:rsidRDefault="00365711" w:rsidP="00393BFC">
            <w:pPr>
              <w:pStyle w:val="BodyText2"/>
              <w:spacing w:after="0"/>
              <w:jc w:val="both"/>
              <w:rPr>
                <w:color w:val="000000"/>
              </w:rPr>
            </w:pPr>
            <w:r>
              <w:rPr>
                <w:color w:val="000000"/>
                <w:u w:val="single"/>
              </w:rPr>
              <w:t>Members Absent</w:t>
            </w:r>
            <w:r>
              <w:rPr>
                <w:color w:val="000000"/>
              </w:rPr>
              <w:t>:</w:t>
            </w:r>
            <w:r w:rsidR="001B0AD0">
              <w:rPr>
                <w:color w:val="000000"/>
              </w:rPr>
              <w:t xml:space="preserve"> </w:t>
            </w:r>
            <w:r w:rsidR="001B0AD0">
              <w:rPr>
                <w:color w:val="000000"/>
              </w:rPr>
              <w:t>Ginny Boucher</w:t>
            </w:r>
            <w:r w:rsidR="00EA5A13">
              <w:rPr>
                <w:color w:val="000000"/>
              </w:rPr>
              <w:t xml:space="preserve">, </w:t>
            </w:r>
            <w:r w:rsidR="00EA5A13" w:rsidRPr="00365711">
              <w:rPr>
                <w:color w:val="000000"/>
              </w:rPr>
              <w:t>Marilyn Merida</w:t>
            </w:r>
          </w:p>
          <w:p w:rsidR="00990E15"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990E15">
              <w:rPr>
                <w:color w:val="000000"/>
              </w:rPr>
              <w:t>Vicky Oliver</w:t>
            </w:r>
            <w:r w:rsidR="000B228D">
              <w:rPr>
                <w:color w:val="000000"/>
              </w:rPr>
              <w:t xml:space="preserve">, Bernard Messier, David Cavalleri, Bobbie Lambert </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72761">
              <w:rPr>
                <w:color w:val="000000"/>
              </w:rPr>
              <w:t>Shell</w:t>
            </w:r>
            <w:r w:rsidR="0023621F">
              <w:rPr>
                <w:color w:val="000000"/>
              </w:rPr>
              <w:t>e</w:t>
            </w:r>
            <w:r w:rsidR="00772761">
              <w:rPr>
                <w:color w:val="000000"/>
              </w:rPr>
              <w:t>y Taylor-Donahue</w:t>
            </w:r>
            <w:r w:rsidR="00990E15">
              <w:rPr>
                <w:color w:val="000000"/>
              </w:rPr>
              <w:t xml:space="preserve">, Demarcus Holden </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31760B">
              <w:rPr>
                <w:color w:val="000000"/>
              </w:rPr>
              <w:t xml:space="preserve">Samantha </w:t>
            </w:r>
            <w:r w:rsidR="00990E15">
              <w:rPr>
                <w:color w:val="000000"/>
              </w:rPr>
              <w:t>Church</w:t>
            </w:r>
          </w:p>
          <w:p w:rsidR="00E0134F" w:rsidRPr="002752CF" w:rsidRDefault="00E0134F" w:rsidP="00393BFC">
            <w:pPr>
              <w:pStyle w:val="BodyText2"/>
              <w:spacing w:after="0"/>
              <w:jc w:val="both"/>
              <w:rPr>
                <w:color w:val="0000FF"/>
                <w:sz w:val="16"/>
                <w:szCs w:val="16"/>
              </w:rPr>
            </w:pPr>
          </w:p>
        </w:tc>
      </w:tr>
      <w:tr w:rsidR="00E0134F" w:rsidRPr="002752CF" w:rsidTr="00912D3E">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613CFB" w:rsidRDefault="00D17914" w:rsidP="00613CFB">
            <w:pPr>
              <w:rPr>
                <w:rFonts w:ascii="Arial" w:hAnsi="Arial" w:cs="Arial"/>
                <w:color w:val="000000"/>
                <w:sz w:val="24"/>
                <w:szCs w:val="24"/>
              </w:rPr>
            </w:pPr>
            <w:r>
              <w:rPr>
                <w:rFonts w:ascii="Arial" w:hAnsi="Arial" w:cs="Arial"/>
                <w:color w:val="000000"/>
                <w:sz w:val="24"/>
                <w:szCs w:val="24"/>
              </w:rPr>
              <w:t xml:space="preserve">The Chair added </w:t>
            </w:r>
            <w:r>
              <w:rPr>
                <w:rFonts w:ascii="Arial" w:hAnsi="Arial" w:cs="Arial"/>
                <w:b/>
                <w:color w:val="000000"/>
                <w:sz w:val="24"/>
                <w:szCs w:val="24"/>
              </w:rPr>
              <w:t>Part A Reallocation Recommendation</w:t>
            </w:r>
            <w:r>
              <w:rPr>
                <w:rFonts w:ascii="Arial" w:hAnsi="Arial" w:cs="Arial"/>
                <w:color w:val="000000"/>
                <w:sz w:val="24"/>
                <w:szCs w:val="24"/>
              </w:rPr>
              <w:t xml:space="preserve"> to item VIII., following Standards, Issues and Operations Committee (SIOC) Discussion </w:t>
            </w:r>
          </w:p>
          <w:p w:rsidR="00E0134F" w:rsidRPr="001A03E9" w:rsidRDefault="00E0134F" w:rsidP="00F14EED">
            <w:pPr>
              <w:pStyle w:val="BodyText2"/>
              <w:jc w:val="both"/>
              <w:rPr>
                <w:color w:val="000000"/>
              </w:rPr>
            </w:pPr>
          </w:p>
        </w:tc>
      </w:tr>
      <w:tr w:rsidR="00E0134F" w:rsidRPr="002752CF" w:rsidTr="00912D3E">
        <w:trPr>
          <w:trHeight w:val="720"/>
        </w:trPr>
        <w:tc>
          <w:tcPr>
            <w:tcW w:w="2734"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706" w:type="dxa"/>
            <w:tcBorders>
              <w:bottom w:val="single" w:sz="4" w:space="0" w:color="auto"/>
            </w:tcBorders>
          </w:tcPr>
          <w:p w:rsidR="00E0134F" w:rsidRPr="007D39FF" w:rsidRDefault="00E0134F" w:rsidP="00EC0878">
            <w:pPr>
              <w:pStyle w:val="BodyText2"/>
              <w:jc w:val="both"/>
              <w:rPr>
                <w:b/>
                <w:bCs/>
                <w:color w:val="000000"/>
              </w:rPr>
            </w:pPr>
            <w:r>
              <w:rPr>
                <w:b/>
                <w:bCs/>
                <w:color w:val="000000"/>
              </w:rPr>
              <w:t xml:space="preserve">The minutes for </w:t>
            </w:r>
            <w:r w:rsidR="00EC0878">
              <w:rPr>
                <w:b/>
                <w:bCs/>
                <w:color w:val="000000"/>
              </w:rPr>
              <w:t>March 10, 2016</w:t>
            </w:r>
            <w:r>
              <w:rPr>
                <w:b/>
                <w:bCs/>
                <w:color w:val="000000"/>
              </w:rPr>
              <w:t xml:space="preserve"> </w:t>
            </w:r>
            <w:r w:rsidRPr="007D39FF">
              <w:rPr>
                <w:b/>
                <w:bCs/>
                <w:color w:val="000000"/>
              </w:rPr>
              <w:t>were approved (M:</w:t>
            </w:r>
            <w:r w:rsidR="0056519E">
              <w:rPr>
                <w:b/>
                <w:bCs/>
                <w:color w:val="000000"/>
              </w:rPr>
              <w:t xml:space="preserve"> </w:t>
            </w:r>
            <w:r w:rsidR="00EC0878">
              <w:rPr>
                <w:b/>
                <w:bCs/>
                <w:color w:val="000000"/>
              </w:rPr>
              <w:t>Clemmons</w:t>
            </w:r>
            <w:r w:rsidRPr="007D39FF">
              <w:rPr>
                <w:b/>
                <w:bCs/>
                <w:color w:val="000000"/>
              </w:rPr>
              <w:t>, S:</w:t>
            </w:r>
            <w:r>
              <w:rPr>
                <w:b/>
                <w:bCs/>
                <w:color w:val="000000"/>
              </w:rPr>
              <w:t xml:space="preserve"> </w:t>
            </w:r>
            <w:r w:rsidR="00EC0878">
              <w:rPr>
                <w:b/>
                <w:bCs/>
                <w:color w:val="000000"/>
              </w:rPr>
              <w:t>Rajkumar</w:t>
            </w:r>
            <w:r w:rsidRPr="007D39FF">
              <w:rPr>
                <w:b/>
                <w:bCs/>
                <w:color w:val="000000"/>
              </w:rPr>
              <w:t xml:space="preserve">).  </w:t>
            </w:r>
          </w:p>
        </w:tc>
      </w:tr>
      <w:tr w:rsidR="0056519E" w:rsidRPr="002752CF" w:rsidTr="00912D3E">
        <w:trPr>
          <w:trHeight w:val="720"/>
        </w:trPr>
        <w:tc>
          <w:tcPr>
            <w:tcW w:w="2734" w:type="dxa"/>
            <w:tcBorders>
              <w:top w:val="single" w:sz="4" w:space="0" w:color="auto"/>
              <w:left w:val="single" w:sz="4" w:space="0" w:color="auto"/>
              <w:bottom w:val="single" w:sz="4" w:space="0" w:color="auto"/>
              <w:right w:val="single" w:sz="4" w:space="0" w:color="auto"/>
            </w:tcBorders>
          </w:tcPr>
          <w:p w:rsidR="0056519E" w:rsidRDefault="0056519E" w:rsidP="0056519E">
            <w:pPr>
              <w:pStyle w:val="Heading3"/>
              <w:keepNext w:val="0"/>
              <w:rPr>
                <w:color w:val="000000"/>
                <w:sz w:val="24"/>
                <w:szCs w:val="24"/>
              </w:rPr>
            </w:pPr>
          </w:p>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706" w:type="dxa"/>
            <w:tcBorders>
              <w:top w:val="single" w:sz="4" w:space="0" w:color="auto"/>
              <w:left w:val="single" w:sz="4" w:space="0" w:color="auto"/>
              <w:bottom w:val="single" w:sz="4" w:space="0" w:color="auto"/>
              <w:right w:val="single" w:sz="4" w:space="0" w:color="auto"/>
            </w:tcBorders>
          </w:tcPr>
          <w:p w:rsidR="0056519E" w:rsidRDefault="0056519E" w:rsidP="0056519E">
            <w:pPr>
              <w:rPr>
                <w:rFonts w:ascii="Arial" w:hAnsi="Arial" w:cs="Arial"/>
                <w:sz w:val="24"/>
                <w:szCs w:val="24"/>
              </w:rPr>
            </w:pPr>
          </w:p>
          <w:p w:rsidR="001B0AD0" w:rsidRDefault="001B0AD0" w:rsidP="001B0A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Care Council meeting was held on May 4, 2016.</w:t>
            </w:r>
          </w:p>
          <w:p w:rsidR="001B0AD0" w:rsidRDefault="001B0AD0" w:rsidP="001B0A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B0AD0" w:rsidRDefault="001B0AD0" w:rsidP="001B0A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Members approved the final three sections of the Integrated Plan: Needs/Gaps/Barriers, HIV Prevention and Care Plan, as well as Monitoring and Improvement. </w:t>
            </w:r>
          </w:p>
          <w:p w:rsidR="001B0AD0" w:rsidRDefault="001B0AD0" w:rsidP="001B0A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A24D37" w:rsidRPr="000524A7" w:rsidRDefault="001B0AD0" w:rsidP="001B0AD0">
            <w:pPr>
              <w:pStyle w:val="BodyText2"/>
              <w:spacing w:before="0" w:after="0"/>
              <w:jc w:val="both"/>
              <w:rPr>
                <w:color w:val="000000"/>
              </w:rPr>
            </w:pPr>
            <w:r>
              <w:rPr>
                <w:color w:val="000000"/>
              </w:rPr>
              <w:t xml:space="preserve">The Membership Committee welcomed one new member and facilitated a membership retreat. </w:t>
            </w:r>
          </w:p>
        </w:tc>
      </w:tr>
      <w:tr w:rsidR="008745D0"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745D0" w:rsidRPr="008745D0" w:rsidRDefault="00D17914" w:rsidP="00B8690C">
            <w:pPr>
              <w:pStyle w:val="Heading3"/>
              <w:keepNext w:val="0"/>
              <w:rPr>
                <w:bCs w:val="0"/>
                <w:color w:val="000000"/>
                <w:sz w:val="24"/>
                <w:szCs w:val="24"/>
              </w:rPr>
            </w:pPr>
            <w:r>
              <w:rPr>
                <w:bCs w:val="0"/>
                <w:color w:val="000000"/>
                <w:sz w:val="24"/>
                <w:szCs w:val="24"/>
              </w:rPr>
              <w:lastRenderedPageBreak/>
              <w:t xml:space="preserve">PART </w:t>
            </w:r>
            <w:proofErr w:type="gramStart"/>
            <w:r>
              <w:rPr>
                <w:bCs w:val="0"/>
                <w:color w:val="000000"/>
                <w:sz w:val="24"/>
                <w:szCs w:val="24"/>
              </w:rPr>
              <w:t>A</w:t>
            </w:r>
            <w:proofErr w:type="gramEnd"/>
            <w:r>
              <w:rPr>
                <w:bCs w:val="0"/>
                <w:color w:val="000000"/>
                <w:sz w:val="24"/>
                <w:szCs w:val="24"/>
              </w:rPr>
              <w:t xml:space="preserve"> ASSESSMENT OF THE ADMINISTRATIVE MECHANISM (AAM) METHODOLOGY </w:t>
            </w:r>
          </w:p>
        </w:tc>
        <w:tc>
          <w:tcPr>
            <w:tcW w:w="7706" w:type="dxa"/>
            <w:tcBorders>
              <w:top w:val="single" w:sz="4" w:space="0" w:color="auto"/>
              <w:left w:val="single" w:sz="4" w:space="0" w:color="auto"/>
              <w:bottom w:val="single" w:sz="4" w:space="0" w:color="auto"/>
              <w:right w:val="single" w:sz="4" w:space="0" w:color="auto"/>
            </w:tcBorders>
          </w:tcPr>
          <w:p w:rsidR="00B11259" w:rsidRDefault="00D24A1E" w:rsidP="00D24A1E">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David Cavalleri presented the Part A Assessment of the Administrative Mechanism (AAM) Methodology for FY 2015-2016 along with a timeline of when the AAM survey will be disseminated, collected, and evaluated. Members discussed changes to the draft survey that will be disseminated to RPARC and Care Council members. </w:t>
            </w:r>
          </w:p>
          <w:p w:rsidR="00D24A1E" w:rsidRPr="00C92874" w:rsidRDefault="00D24A1E" w:rsidP="00D24A1E">
            <w:pPr>
              <w:autoSpaceDE w:val="0"/>
              <w:autoSpaceDN w:val="0"/>
              <w:adjustRightInd w:val="0"/>
              <w:jc w:val="both"/>
              <w:rPr>
                <w:rFonts w:ascii="Arial" w:hAnsi="Arial" w:cs="Arial"/>
                <w:color w:val="000000"/>
                <w:sz w:val="24"/>
                <w:szCs w:val="24"/>
              </w:rPr>
            </w:pPr>
          </w:p>
        </w:tc>
      </w:tr>
      <w:tr w:rsidR="0035705C" w:rsidRPr="008745D0" w:rsidTr="00912D3E">
        <w:trPr>
          <w:trHeight w:val="1556"/>
        </w:trPr>
        <w:tc>
          <w:tcPr>
            <w:tcW w:w="2734" w:type="dxa"/>
            <w:tcBorders>
              <w:top w:val="single" w:sz="4" w:space="0" w:color="auto"/>
              <w:left w:val="single" w:sz="4" w:space="0" w:color="auto"/>
              <w:bottom w:val="single" w:sz="4" w:space="0" w:color="auto"/>
              <w:right w:val="single" w:sz="4" w:space="0" w:color="auto"/>
            </w:tcBorders>
          </w:tcPr>
          <w:p w:rsidR="0035705C" w:rsidRPr="008745D0" w:rsidRDefault="00D17914" w:rsidP="00BD25AF">
            <w:pPr>
              <w:pStyle w:val="Heading3"/>
              <w:keepNext w:val="0"/>
              <w:rPr>
                <w:bCs w:val="0"/>
                <w:color w:val="000000"/>
                <w:sz w:val="24"/>
                <w:szCs w:val="24"/>
              </w:rPr>
            </w:pPr>
            <w:r>
              <w:rPr>
                <w:bCs w:val="0"/>
                <w:color w:val="000000"/>
                <w:sz w:val="24"/>
                <w:szCs w:val="24"/>
              </w:rPr>
              <w:t xml:space="preserve">STANDARDS, ISSUES AND OPERATIONS COMMITTEE (SIOC) </w:t>
            </w:r>
          </w:p>
        </w:tc>
        <w:tc>
          <w:tcPr>
            <w:tcW w:w="7706" w:type="dxa"/>
            <w:tcBorders>
              <w:top w:val="single" w:sz="4" w:space="0" w:color="auto"/>
              <w:left w:val="single" w:sz="4" w:space="0" w:color="auto"/>
              <w:bottom w:val="single" w:sz="4" w:space="0" w:color="auto"/>
              <w:right w:val="single" w:sz="4" w:space="0" w:color="auto"/>
            </w:tcBorders>
          </w:tcPr>
          <w:p w:rsidR="006D0F0B" w:rsidRPr="00B945C5" w:rsidRDefault="006D0F0B" w:rsidP="006D0F0B">
            <w:pPr>
              <w:rPr>
                <w:rFonts w:ascii="Arial" w:hAnsi="Arial" w:cs="Arial"/>
                <w:color w:val="000000"/>
                <w:sz w:val="24"/>
                <w:szCs w:val="24"/>
              </w:rPr>
            </w:pPr>
            <w:r>
              <w:rPr>
                <w:rFonts w:ascii="Arial" w:hAnsi="Arial" w:cs="Arial"/>
                <w:color w:val="000000"/>
                <w:sz w:val="24"/>
                <w:szCs w:val="24"/>
              </w:rPr>
              <w:t>The</w:t>
            </w:r>
            <w:r w:rsidRPr="00B945C5">
              <w:rPr>
                <w:rFonts w:ascii="Arial" w:hAnsi="Arial" w:cs="Arial"/>
                <w:color w:val="000000"/>
                <w:sz w:val="24"/>
                <w:szCs w:val="24"/>
              </w:rPr>
              <w:t xml:space="preserve"> Insurance Services Program (ISP) is no longer accepting new clients and some currently waitlisted clients may not be able to be served this mont</w:t>
            </w:r>
            <w:r>
              <w:rPr>
                <w:rFonts w:ascii="Arial" w:hAnsi="Arial" w:cs="Arial"/>
                <w:color w:val="000000"/>
                <w:sz w:val="24"/>
                <w:szCs w:val="24"/>
              </w:rPr>
              <w:t>h due to insufficient funding. 200</w:t>
            </w:r>
            <w:r w:rsidRPr="00B945C5">
              <w:rPr>
                <w:rFonts w:ascii="Arial" w:hAnsi="Arial" w:cs="Arial"/>
                <w:color w:val="000000"/>
                <w:sz w:val="24"/>
                <w:szCs w:val="24"/>
              </w:rPr>
              <w:t xml:space="preserve"> new clients enrolled into the ISP program between January and March of this year. There are currently 70 enrolled premium clients, 120 enrolled co-pay clients and 758 waitlisted clients. The community has seen an increase in clients enrolling in case management services as well as ISP. The community has also noticed an increase in insurance premium costs. </w:t>
            </w:r>
          </w:p>
          <w:p w:rsidR="006D0F0B" w:rsidRPr="00B945C5" w:rsidRDefault="006D0F0B" w:rsidP="006D0F0B">
            <w:pPr>
              <w:rPr>
                <w:rFonts w:ascii="Arial" w:hAnsi="Arial" w:cs="Arial"/>
                <w:color w:val="000000"/>
                <w:sz w:val="24"/>
                <w:szCs w:val="24"/>
              </w:rPr>
            </w:pPr>
          </w:p>
          <w:p w:rsidR="006D0F0B" w:rsidRDefault="006D0F0B" w:rsidP="006D0F0B">
            <w:pPr>
              <w:rPr>
                <w:rFonts w:ascii="Arial" w:hAnsi="Arial" w:cs="Arial"/>
                <w:color w:val="000000"/>
                <w:sz w:val="24"/>
                <w:szCs w:val="24"/>
              </w:rPr>
            </w:pPr>
            <w:r w:rsidRPr="00B945C5">
              <w:rPr>
                <w:rFonts w:ascii="Arial" w:hAnsi="Arial" w:cs="Arial"/>
                <w:color w:val="000000"/>
                <w:sz w:val="24"/>
                <w:szCs w:val="24"/>
              </w:rPr>
              <w:t xml:space="preserve">The SIOC meeting was called to provide temporary assistance to ISP.  </w:t>
            </w:r>
            <w:r>
              <w:rPr>
                <w:rFonts w:ascii="Arial" w:hAnsi="Arial" w:cs="Arial"/>
                <w:color w:val="000000"/>
                <w:sz w:val="24"/>
                <w:szCs w:val="24"/>
              </w:rPr>
              <w:t xml:space="preserve">SIOC approved a $15,000 Part B general revenue allocation to ISP. </w:t>
            </w:r>
          </w:p>
          <w:p w:rsidR="00A64B8A" w:rsidRPr="00C92874" w:rsidRDefault="00A64B8A" w:rsidP="00EC08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912D3E" w:rsidRPr="008745D0" w:rsidTr="00912D3E">
        <w:trPr>
          <w:trHeight w:val="1556"/>
        </w:trPr>
        <w:tc>
          <w:tcPr>
            <w:tcW w:w="2734" w:type="dxa"/>
            <w:tcBorders>
              <w:top w:val="single" w:sz="4" w:space="0" w:color="auto"/>
              <w:left w:val="single" w:sz="4" w:space="0" w:color="auto"/>
              <w:bottom w:val="single" w:sz="4" w:space="0" w:color="auto"/>
              <w:right w:val="single" w:sz="4" w:space="0" w:color="auto"/>
            </w:tcBorders>
          </w:tcPr>
          <w:p w:rsidR="00912D3E" w:rsidRDefault="00D17914" w:rsidP="00BD25AF">
            <w:pPr>
              <w:pStyle w:val="Heading3"/>
              <w:keepNext w:val="0"/>
              <w:rPr>
                <w:bCs w:val="0"/>
                <w:color w:val="000000"/>
                <w:sz w:val="24"/>
                <w:szCs w:val="24"/>
              </w:rPr>
            </w:pPr>
            <w:r>
              <w:rPr>
                <w:bCs w:val="0"/>
                <w:color w:val="000000"/>
                <w:sz w:val="24"/>
                <w:szCs w:val="24"/>
              </w:rPr>
              <w:t>PART A RE</w:t>
            </w:r>
            <w:r w:rsidR="00912D3E">
              <w:rPr>
                <w:bCs w:val="0"/>
                <w:color w:val="000000"/>
                <w:sz w:val="24"/>
                <w:szCs w:val="24"/>
              </w:rPr>
              <w:t xml:space="preserve">ALLOCATION RECOMMENDATION </w:t>
            </w:r>
          </w:p>
        </w:tc>
        <w:tc>
          <w:tcPr>
            <w:tcW w:w="7706" w:type="dxa"/>
            <w:tcBorders>
              <w:top w:val="single" w:sz="4" w:space="0" w:color="auto"/>
              <w:left w:val="single" w:sz="4" w:space="0" w:color="auto"/>
              <w:bottom w:val="single" w:sz="4" w:space="0" w:color="auto"/>
              <w:right w:val="single" w:sz="4" w:space="0" w:color="auto"/>
            </w:tcBorders>
          </w:tcPr>
          <w:p w:rsidR="004F7A5A" w:rsidRDefault="00DC4050" w:rsidP="00DC40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recipient informed the group that the </w:t>
            </w:r>
            <w:r w:rsidRPr="00DC4050">
              <w:rPr>
                <w:rFonts w:ascii="Arial" w:hAnsi="Arial" w:cs="Arial"/>
                <w:color w:val="000000"/>
                <w:sz w:val="24"/>
                <w:szCs w:val="24"/>
              </w:rPr>
              <w:t xml:space="preserve">FY 15-16 Part A </w:t>
            </w:r>
            <w:r>
              <w:rPr>
                <w:rFonts w:ascii="Arial" w:hAnsi="Arial" w:cs="Arial"/>
                <w:color w:val="000000"/>
                <w:sz w:val="24"/>
                <w:szCs w:val="24"/>
              </w:rPr>
              <w:t xml:space="preserve">grant </w:t>
            </w:r>
            <w:r w:rsidRPr="00DC4050">
              <w:rPr>
                <w:rFonts w:ascii="Arial" w:hAnsi="Arial" w:cs="Arial"/>
                <w:color w:val="000000"/>
                <w:sz w:val="24"/>
                <w:szCs w:val="24"/>
              </w:rPr>
              <w:t>award was received on 5/9/16,</w:t>
            </w:r>
            <w:r>
              <w:rPr>
                <w:rFonts w:ascii="Arial" w:hAnsi="Arial" w:cs="Arial"/>
                <w:color w:val="000000"/>
                <w:sz w:val="24"/>
                <w:szCs w:val="24"/>
              </w:rPr>
              <w:t xml:space="preserve"> which totals $10,302,488, and the</w:t>
            </w:r>
            <w:r w:rsidRPr="00DC4050">
              <w:rPr>
                <w:rFonts w:ascii="Arial" w:hAnsi="Arial" w:cs="Arial"/>
                <w:color w:val="000000"/>
                <w:sz w:val="24"/>
                <w:szCs w:val="24"/>
              </w:rPr>
              <w:t xml:space="preserve"> EMA has an additional $19,520 in funding for direct services, which includes Minority AIDS Initiative (MAI).  </w:t>
            </w:r>
            <w:r>
              <w:rPr>
                <w:rFonts w:ascii="Arial" w:hAnsi="Arial" w:cs="Arial"/>
                <w:color w:val="000000"/>
                <w:sz w:val="24"/>
                <w:szCs w:val="24"/>
              </w:rPr>
              <w:t>The recipient is in</w:t>
            </w:r>
            <w:r w:rsidRPr="00DC4050">
              <w:rPr>
                <w:rFonts w:ascii="Arial" w:hAnsi="Arial" w:cs="Arial"/>
                <w:color w:val="000000"/>
                <w:sz w:val="24"/>
                <w:szCs w:val="24"/>
              </w:rPr>
              <w:t xml:space="preserve"> the process of reconciliation and will be bringing recommendations forward based on the full award next month.</w:t>
            </w:r>
          </w:p>
          <w:p w:rsidR="00DC4050" w:rsidRDefault="00DC4050" w:rsidP="00DC40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C4050" w:rsidRPr="00DC4050" w:rsidRDefault="00DC4050" w:rsidP="00DC4050">
            <w:pPr>
              <w:jc w:val="both"/>
              <w:rPr>
                <w:rFonts w:ascii="Arial" w:hAnsi="Arial" w:cs="Arial"/>
                <w:sz w:val="24"/>
                <w:szCs w:val="24"/>
              </w:rPr>
            </w:pPr>
            <w:r w:rsidRPr="00DC4050">
              <w:rPr>
                <w:rFonts w:ascii="Arial" w:hAnsi="Arial" w:cs="Arial"/>
                <w:sz w:val="24"/>
                <w:szCs w:val="24"/>
              </w:rPr>
              <w:t>The Recipient is recommending that the following underutilized allocation from providers be reallocated to the Health Insurance Services program due to the unmet need which is growing significantly. The funding will not provide services to additional clients, but will help ensure services continue for those clients already active or enrolled in the program.</w:t>
            </w:r>
          </w:p>
          <w:p w:rsidR="00DC4050" w:rsidRPr="00DC4050" w:rsidRDefault="00DC4050" w:rsidP="00DC4050">
            <w:pPr>
              <w:rPr>
                <w:rFonts w:ascii="Arial" w:hAnsi="Arial" w:cs="Arial"/>
                <w:sz w:val="24"/>
                <w:szCs w:val="24"/>
              </w:rPr>
            </w:pPr>
          </w:p>
          <w:p w:rsidR="00DC4050" w:rsidRPr="00DC4050" w:rsidRDefault="00DC4050" w:rsidP="00DC4050">
            <w:pPr>
              <w:rPr>
                <w:sz w:val="24"/>
                <w:szCs w:val="24"/>
              </w:rPr>
            </w:pPr>
            <w:r w:rsidRPr="00DC4050">
              <w:rPr>
                <w:b/>
                <w:sz w:val="24"/>
                <w:szCs w:val="24"/>
              </w:rPr>
              <w:t>COMING FROM</w:t>
            </w:r>
            <w:r w:rsidRPr="00DC4050">
              <w:rPr>
                <w:sz w:val="24"/>
                <w:szCs w:val="24"/>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90"/>
              <w:gridCol w:w="1350"/>
              <w:gridCol w:w="1710"/>
              <w:gridCol w:w="3389"/>
            </w:tblGrid>
            <w:tr w:rsidR="00DC4050" w:rsidRPr="00DC4050" w:rsidTr="00DC4050">
              <w:tc>
                <w:tcPr>
                  <w:tcW w:w="1417" w:type="dxa"/>
                  <w:shd w:val="clear" w:color="auto" w:fill="auto"/>
                </w:tcPr>
                <w:p w:rsidR="00DC4050" w:rsidRPr="00DC4050" w:rsidRDefault="00DC4050" w:rsidP="00DC4050">
                  <w:pPr>
                    <w:rPr>
                      <w:b/>
                      <w:sz w:val="24"/>
                      <w:szCs w:val="24"/>
                    </w:rPr>
                  </w:pPr>
                  <w:r w:rsidRPr="00DC4050">
                    <w:rPr>
                      <w:b/>
                      <w:sz w:val="24"/>
                      <w:szCs w:val="24"/>
                    </w:rPr>
                    <w:t>Service</w:t>
                  </w:r>
                </w:p>
              </w:tc>
              <w:tc>
                <w:tcPr>
                  <w:tcW w:w="990" w:type="dxa"/>
                  <w:shd w:val="clear" w:color="auto" w:fill="auto"/>
                </w:tcPr>
                <w:p w:rsidR="00DC4050" w:rsidRPr="00DC4050" w:rsidRDefault="00DC4050" w:rsidP="00DC4050">
                  <w:pPr>
                    <w:rPr>
                      <w:b/>
                      <w:sz w:val="24"/>
                      <w:szCs w:val="24"/>
                    </w:rPr>
                  </w:pPr>
                  <w:r w:rsidRPr="00DC4050">
                    <w:rPr>
                      <w:b/>
                      <w:sz w:val="24"/>
                      <w:szCs w:val="24"/>
                    </w:rPr>
                    <w:t>County</w:t>
                  </w:r>
                </w:p>
              </w:tc>
              <w:tc>
                <w:tcPr>
                  <w:tcW w:w="1350" w:type="dxa"/>
                  <w:shd w:val="clear" w:color="auto" w:fill="auto"/>
                </w:tcPr>
                <w:p w:rsidR="00DC4050" w:rsidRPr="00DC4050" w:rsidRDefault="00DC4050" w:rsidP="00DC4050">
                  <w:pPr>
                    <w:rPr>
                      <w:b/>
                      <w:sz w:val="24"/>
                      <w:szCs w:val="24"/>
                    </w:rPr>
                  </w:pPr>
                  <w:r w:rsidRPr="00DC4050">
                    <w:rPr>
                      <w:b/>
                      <w:sz w:val="24"/>
                      <w:szCs w:val="24"/>
                    </w:rPr>
                    <w:t>Current Allocation</w:t>
                  </w:r>
                </w:p>
              </w:tc>
              <w:tc>
                <w:tcPr>
                  <w:tcW w:w="1710" w:type="dxa"/>
                  <w:shd w:val="clear" w:color="auto" w:fill="auto"/>
                </w:tcPr>
                <w:p w:rsidR="00DC4050" w:rsidRPr="00DC4050" w:rsidRDefault="00DC4050" w:rsidP="00DC4050">
                  <w:pPr>
                    <w:rPr>
                      <w:b/>
                      <w:sz w:val="24"/>
                      <w:szCs w:val="24"/>
                    </w:rPr>
                  </w:pPr>
                  <w:r w:rsidRPr="00DC4050">
                    <w:rPr>
                      <w:b/>
                      <w:sz w:val="24"/>
                      <w:szCs w:val="24"/>
                    </w:rPr>
                    <w:t>Increase/Decrease</w:t>
                  </w:r>
                </w:p>
              </w:tc>
              <w:tc>
                <w:tcPr>
                  <w:tcW w:w="3389" w:type="dxa"/>
                  <w:shd w:val="clear" w:color="auto" w:fill="auto"/>
                </w:tcPr>
                <w:p w:rsidR="00DC4050" w:rsidRPr="00DC4050" w:rsidRDefault="00DC4050" w:rsidP="00DC4050">
                  <w:pPr>
                    <w:rPr>
                      <w:b/>
                      <w:sz w:val="24"/>
                      <w:szCs w:val="24"/>
                    </w:rPr>
                  </w:pPr>
                  <w:r w:rsidRPr="00DC4050">
                    <w:rPr>
                      <w:b/>
                      <w:sz w:val="24"/>
                      <w:szCs w:val="24"/>
                    </w:rPr>
                    <w:t>Revised Allocation</w:t>
                  </w:r>
                </w:p>
              </w:tc>
            </w:tr>
            <w:tr w:rsidR="00DC4050" w:rsidRPr="00DC4050" w:rsidTr="00DC4050">
              <w:tc>
                <w:tcPr>
                  <w:tcW w:w="1417" w:type="dxa"/>
                  <w:shd w:val="clear" w:color="auto" w:fill="auto"/>
                </w:tcPr>
                <w:p w:rsidR="00DC4050" w:rsidRPr="00DC4050" w:rsidRDefault="00DC4050" w:rsidP="00DC4050">
                  <w:pPr>
                    <w:rPr>
                      <w:sz w:val="24"/>
                      <w:szCs w:val="24"/>
                    </w:rPr>
                  </w:pPr>
                  <w:r w:rsidRPr="00DC4050">
                    <w:rPr>
                      <w:sz w:val="24"/>
                      <w:szCs w:val="24"/>
                    </w:rPr>
                    <w:t>Ambulatory/Outpatient Medical Care</w:t>
                  </w:r>
                </w:p>
              </w:tc>
              <w:tc>
                <w:tcPr>
                  <w:tcW w:w="990" w:type="dxa"/>
                  <w:shd w:val="clear" w:color="auto" w:fill="auto"/>
                </w:tcPr>
                <w:p w:rsidR="00DC4050" w:rsidRPr="00DC4050" w:rsidRDefault="00DC4050" w:rsidP="00DC4050">
                  <w:pPr>
                    <w:rPr>
                      <w:sz w:val="24"/>
                      <w:szCs w:val="24"/>
                    </w:rPr>
                  </w:pPr>
                  <w:r w:rsidRPr="00DC4050">
                    <w:rPr>
                      <w:sz w:val="24"/>
                      <w:szCs w:val="24"/>
                    </w:rPr>
                    <w:t>Pinellas</w:t>
                  </w:r>
                </w:p>
              </w:tc>
              <w:tc>
                <w:tcPr>
                  <w:tcW w:w="1350" w:type="dxa"/>
                  <w:shd w:val="clear" w:color="auto" w:fill="auto"/>
                </w:tcPr>
                <w:p w:rsidR="00DC4050" w:rsidRPr="00DC4050" w:rsidRDefault="00DC4050" w:rsidP="00DC4050">
                  <w:pPr>
                    <w:rPr>
                      <w:sz w:val="24"/>
                      <w:szCs w:val="24"/>
                    </w:rPr>
                  </w:pPr>
                  <w:r w:rsidRPr="00DC4050">
                    <w:rPr>
                      <w:sz w:val="24"/>
                      <w:szCs w:val="24"/>
                    </w:rPr>
                    <w:t>$92,291</w:t>
                  </w:r>
                </w:p>
              </w:tc>
              <w:tc>
                <w:tcPr>
                  <w:tcW w:w="1710" w:type="dxa"/>
                  <w:shd w:val="clear" w:color="auto" w:fill="auto"/>
                </w:tcPr>
                <w:p w:rsidR="00DC4050" w:rsidRPr="00DC4050" w:rsidRDefault="00DC4050" w:rsidP="00DC4050">
                  <w:pPr>
                    <w:rPr>
                      <w:sz w:val="24"/>
                      <w:szCs w:val="24"/>
                    </w:rPr>
                  </w:pPr>
                  <w:r w:rsidRPr="00DC4050">
                    <w:rPr>
                      <w:sz w:val="24"/>
                      <w:szCs w:val="24"/>
                    </w:rPr>
                    <w:t>-$40,000</w:t>
                  </w:r>
                </w:p>
              </w:tc>
              <w:tc>
                <w:tcPr>
                  <w:tcW w:w="3389" w:type="dxa"/>
                  <w:shd w:val="clear" w:color="auto" w:fill="auto"/>
                </w:tcPr>
                <w:p w:rsidR="00DC4050" w:rsidRPr="00DC4050" w:rsidRDefault="00DC4050" w:rsidP="00DC4050">
                  <w:pPr>
                    <w:rPr>
                      <w:sz w:val="24"/>
                      <w:szCs w:val="24"/>
                    </w:rPr>
                  </w:pPr>
                  <w:r w:rsidRPr="00DC4050">
                    <w:rPr>
                      <w:sz w:val="24"/>
                      <w:szCs w:val="24"/>
                    </w:rPr>
                    <w:t>$52,291</w:t>
                  </w:r>
                </w:p>
              </w:tc>
            </w:tr>
            <w:tr w:rsidR="00DC4050" w:rsidRPr="00DC4050" w:rsidTr="00DC4050">
              <w:tc>
                <w:tcPr>
                  <w:tcW w:w="1417" w:type="dxa"/>
                  <w:shd w:val="clear" w:color="auto" w:fill="auto"/>
                </w:tcPr>
                <w:p w:rsidR="00DC4050" w:rsidRPr="00DC4050" w:rsidRDefault="00DC4050" w:rsidP="00DC4050">
                  <w:pPr>
                    <w:rPr>
                      <w:sz w:val="24"/>
                      <w:szCs w:val="24"/>
                    </w:rPr>
                  </w:pPr>
                  <w:r w:rsidRPr="00DC4050">
                    <w:rPr>
                      <w:sz w:val="24"/>
                      <w:szCs w:val="24"/>
                    </w:rPr>
                    <w:t>Substance Abuse</w:t>
                  </w:r>
                </w:p>
              </w:tc>
              <w:tc>
                <w:tcPr>
                  <w:tcW w:w="990" w:type="dxa"/>
                  <w:shd w:val="clear" w:color="auto" w:fill="auto"/>
                </w:tcPr>
                <w:p w:rsidR="00DC4050" w:rsidRPr="00DC4050" w:rsidRDefault="00DC4050" w:rsidP="00DC4050">
                  <w:pPr>
                    <w:rPr>
                      <w:sz w:val="24"/>
                      <w:szCs w:val="24"/>
                    </w:rPr>
                  </w:pPr>
                  <w:r w:rsidRPr="00DC4050">
                    <w:rPr>
                      <w:sz w:val="24"/>
                      <w:szCs w:val="24"/>
                    </w:rPr>
                    <w:t>Pinellas</w:t>
                  </w:r>
                </w:p>
              </w:tc>
              <w:tc>
                <w:tcPr>
                  <w:tcW w:w="1350" w:type="dxa"/>
                  <w:shd w:val="clear" w:color="auto" w:fill="auto"/>
                </w:tcPr>
                <w:p w:rsidR="00DC4050" w:rsidRPr="00DC4050" w:rsidRDefault="00DC4050" w:rsidP="00DC4050">
                  <w:pPr>
                    <w:rPr>
                      <w:sz w:val="24"/>
                      <w:szCs w:val="24"/>
                    </w:rPr>
                  </w:pPr>
                  <w:r w:rsidRPr="00DC4050">
                    <w:rPr>
                      <w:sz w:val="24"/>
                      <w:szCs w:val="24"/>
                    </w:rPr>
                    <w:t>$157,266</w:t>
                  </w:r>
                </w:p>
              </w:tc>
              <w:tc>
                <w:tcPr>
                  <w:tcW w:w="1710" w:type="dxa"/>
                  <w:shd w:val="clear" w:color="auto" w:fill="auto"/>
                </w:tcPr>
                <w:p w:rsidR="00DC4050" w:rsidRPr="00DC4050" w:rsidRDefault="00DC4050" w:rsidP="00DC4050">
                  <w:pPr>
                    <w:rPr>
                      <w:sz w:val="24"/>
                      <w:szCs w:val="24"/>
                    </w:rPr>
                  </w:pPr>
                  <w:r w:rsidRPr="00DC4050">
                    <w:rPr>
                      <w:sz w:val="24"/>
                      <w:szCs w:val="24"/>
                    </w:rPr>
                    <w:t>-$76,266</w:t>
                  </w:r>
                </w:p>
              </w:tc>
              <w:tc>
                <w:tcPr>
                  <w:tcW w:w="3389" w:type="dxa"/>
                  <w:shd w:val="clear" w:color="auto" w:fill="auto"/>
                </w:tcPr>
                <w:p w:rsidR="00DC4050" w:rsidRPr="00DC4050" w:rsidRDefault="00DC4050" w:rsidP="00DC4050">
                  <w:pPr>
                    <w:rPr>
                      <w:sz w:val="24"/>
                      <w:szCs w:val="24"/>
                    </w:rPr>
                  </w:pPr>
                  <w:r w:rsidRPr="00DC4050">
                    <w:rPr>
                      <w:sz w:val="24"/>
                      <w:szCs w:val="24"/>
                    </w:rPr>
                    <w:t>$81,000</w:t>
                  </w:r>
                </w:p>
              </w:tc>
            </w:tr>
            <w:tr w:rsidR="00DC4050" w:rsidRPr="00DC4050" w:rsidTr="00DC4050">
              <w:tc>
                <w:tcPr>
                  <w:tcW w:w="1417" w:type="dxa"/>
                  <w:shd w:val="clear" w:color="auto" w:fill="auto"/>
                </w:tcPr>
                <w:p w:rsidR="00DC4050" w:rsidRPr="00DC4050" w:rsidRDefault="00DC4050" w:rsidP="00DC4050">
                  <w:pPr>
                    <w:rPr>
                      <w:sz w:val="24"/>
                      <w:szCs w:val="24"/>
                    </w:rPr>
                  </w:pPr>
                  <w:r w:rsidRPr="00DC4050">
                    <w:rPr>
                      <w:b/>
                      <w:sz w:val="24"/>
                      <w:szCs w:val="24"/>
                    </w:rPr>
                    <w:t>Total</w:t>
                  </w:r>
                </w:p>
              </w:tc>
              <w:tc>
                <w:tcPr>
                  <w:tcW w:w="990" w:type="dxa"/>
                  <w:shd w:val="clear" w:color="auto" w:fill="auto"/>
                </w:tcPr>
                <w:p w:rsidR="00DC4050" w:rsidRPr="00DC4050" w:rsidRDefault="00DC4050" w:rsidP="00DC4050">
                  <w:pPr>
                    <w:rPr>
                      <w:sz w:val="24"/>
                      <w:szCs w:val="24"/>
                    </w:rPr>
                  </w:pPr>
                </w:p>
              </w:tc>
              <w:tc>
                <w:tcPr>
                  <w:tcW w:w="1350" w:type="dxa"/>
                  <w:shd w:val="clear" w:color="auto" w:fill="auto"/>
                </w:tcPr>
                <w:p w:rsidR="00DC4050" w:rsidRPr="00DC4050" w:rsidRDefault="00DC4050" w:rsidP="00DC4050">
                  <w:pPr>
                    <w:rPr>
                      <w:sz w:val="24"/>
                      <w:szCs w:val="24"/>
                    </w:rPr>
                  </w:pPr>
                </w:p>
              </w:tc>
              <w:tc>
                <w:tcPr>
                  <w:tcW w:w="1710" w:type="dxa"/>
                  <w:shd w:val="clear" w:color="auto" w:fill="auto"/>
                </w:tcPr>
                <w:p w:rsidR="00DC4050" w:rsidRPr="00DC4050" w:rsidRDefault="00DC4050" w:rsidP="00DC4050">
                  <w:pPr>
                    <w:rPr>
                      <w:sz w:val="24"/>
                      <w:szCs w:val="24"/>
                    </w:rPr>
                  </w:pPr>
                  <w:r w:rsidRPr="00DC4050">
                    <w:rPr>
                      <w:b/>
                      <w:sz w:val="24"/>
                      <w:szCs w:val="24"/>
                    </w:rPr>
                    <w:t>$116,266</w:t>
                  </w:r>
                </w:p>
              </w:tc>
              <w:tc>
                <w:tcPr>
                  <w:tcW w:w="3389" w:type="dxa"/>
                  <w:shd w:val="clear" w:color="auto" w:fill="auto"/>
                </w:tcPr>
                <w:p w:rsidR="00DC4050" w:rsidRPr="00DC4050" w:rsidRDefault="00DC4050" w:rsidP="00DC4050">
                  <w:pPr>
                    <w:rPr>
                      <w:sz w:val="24"/>
                      <w:szCs w:val="24"/>
                    </w:rPr>
                  </w:pPr>
                </w:p>
              </w:tc>
            </w:tr>
          </w:tbl>
          <w:p w:rsidR="00DC4050" w:rsidRPr="00DC4050" w:rsidRDefault="00DC4050" w:rsidP="00DC4050">
            <w:pPr>
              <w:rPr>
                <w:rFonts w:ascii="Arial" w:hAnsi="Arial"/>
                <w:sz w:val="24"/>
                <w:szCs w:val="24"/>
              </w:rPr>
            </w:pPr>
          </w:p>
          <w:p w:rsidR="00DC4050" w:rsidRPr="00DC4050" w:rsidRDefault="00DC4050" w:rsidP="00DC4050">
            <w:pPr>
              <w:rPr>
                <w:rFonts w:ascii="Arial" w:hAnsi="Arial"/>
                <w:sz w:val="24"/>
                <w:szCs w:val="24"/>
              </w:rPr>
            </w:pPr>
            <w:r w:rsidRPr="00DC4050">
              <w:rPr>
                <w:b/>
                <w:sz w:val="24"/>
                <w:szCs w:val="24"/>
              </w:rPr>
              <w:t>GOING TO:</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90"/>
              <w:gridCol w:w="1350"/>
              <w:gridCol w:w="1710"/>
              <w:gridCol w:w="3389"/>
            </w:tblGrid>
            <w:tr w:rsidR="00DC4050" w:rsidRPr="00DC4050" w:rsidTr="00DC4050">
              <w:tc>
                <w:tcPr>
                  <w:tcW w:w="1417" w:type="dxa"/>
                  <w:shd w:val="clear" w:color="auto" w:fill="auto"/>
                </w:tcPr>
                <w:p w:rsidR="00DC4050" w:rsidRPr="00DC4050" w:rsidRDefault="00DC4050" w:rsidP="00DC4050">
                  <w:pPr>
                    <w:rPr>
                      <w:b/>
                      <w:sz w:val="24"/>
                      <w:szCs w:val="24"/>
                    </w:rPr>
                  </w:pPr>
                  <w:r w:rsidRPr="00DC4050">
                    <w:rPr>
                      <w:b/>
                      <w:sz w:val="24"/>
                      <w:szCs w:val="24"/>
                    </w:rPr>
                    <w:t xml:space="preserve">Service </w:t>
                  </w:r>
                </w:p>
              </w:tc>
              <w:tc>
                <w:tcPr>
                  <w:tcW w:w="990" w:type="dxa"/>
                  <w:shd w:val="clear" w:color="auto" w:fill="auto"/>
                </w:tcPr>
                <w:p w:rsidR="00DC4050" w:rsidRPr="00DC4050" w:rsidRDefault="00DC4050" w:rsidP="00DC4050">
                  <w:pPr>
                    <w:rPr>
                      <w:b/>
                      <w:sz w:val="24"/>
                      <w:szCs w:val="24"/>
                    </w:rPr>
                  </w:pPr>
                  <w:r w:rsidRPr="00DC4050">
                    <w:rPr>
                      <w:b/>
                      <w:sz w:val="24"/>
                      <w:szCs w:val="24"/>
                    </w:rPr>
                    <w:t>County</w:t>
                  </w:r>
                </w:p>
              </w:tc>
              <w:tc>
                <w:tcPr>
                  <w:tcW w:w="1350" w:type="dxa"/>
                  <w:shd w:val="clear" w:color="auto" w:fill="auto"/>
                </w:tcPr>
                <w:p w:rsidR="00DC4050" w:rsidRPr="00DC4050" w:rsidRDefault="00DC4050" w:rsidP="00DC4050">
                  <w:pPr>
                    <w:rPr>
                      <w:b/>
                      <w:sz w:val="24"/>
                      <w:szCs w:val="24"/>
                    </w:rPr>
                  </w:pPr>
                  <w:r w:rsidRPr="00DC4050">
                    <w:rPr>
                      <w:b/>
                      <w:sz w:val="24"/>
                      <w:szCs w:val="24"/>
                    </w:rPr>
                    <w:t>Current Allocation</w:t>
                  </w:r>
                </w:p>
              </w:tc>
              <w:tc>
                <w:tcPr>
                  <w:tcW w:w="1710" w:type="dxa"/>
                  <w:shd w:val="clear" w:color="auto" w:fill="auto"/>
                </w:tcPr>
                <w:p w:rsidR="00DC4050" w:rsidRPr="00DC4050" w:rsidRDefault="00DC4050" w:rsidP="00DC4050">
                  <w:pPr>
                    <w:rPr>
                      <w:b/>
                      <w:sz w:val="24"/>
                      <w:szCs w:val="24"/>
                    </w:rPr>
                  </w:pPr>
                  <w:r w:rsidRPr="00DC4050">
                    <w:rPr>
                      <w:b/>
                      <w:sz w:val="24"/>
                      <w:szCs w:val="24"/>
                    </w:rPr>
                    <w:t>Increase/Decrease</w:t>
                  </w:r>
                </w:p>
              </w:tc>
              <w:tc>
                <w:tcPr>
                  <w:tcW w:w="3389" w:type="dxa"/>
                  <w:shd w:val="clear" w:color="auto" w:fill="auto"/>
                </w:tcPr>
                <w:p w:rsidR="00DC4050" w:rsidRPr="00DC4050" w:rsidRDefault="00DC4050" w:rsidP="00DC4050">
                  <w:pPr>
                    <w:rPr>
                      <w:b/>
                      <w:sz w:val="24"/>
                      <w:szCs w:val="24"/>
                    </w:rPr>
                  </w:pPr>
                  <w:r w:rsidRPr="00DC4050">
                    <w:rPr>
                      <w:b/>
                      <w:sz w:val="24"/>
                      <w:szCs w:val="24"/>
                    </w:rPr>
                    <w:t>Revised Allocation</w:t>
                  </w:r>
                </w:p>
              </w:tc>
            </w:tr>
            <w:tr w:rsidR="00DC4050" w:rsidRPr="00DC4050" w:rsidTr="00DC4050">
              <w:tc>
                <w:tcPr>
                  <w:tcW w:w="1417" w:type="dxa"/>
                  <w:shd w:val="clear" w:color="auto" w:fill="auto"/>
                </w:tcPr>
                <w:p w:rsidR="00DC4050" w:rsidRPr="00DC4050" w:rsidRDefault="00DC4050" w:rsidP="00DC4050">
                  <w:pPr>
                    <w:rPr>
                      <w:sz w:val="24"/>
                      <w:szCs w:val="24"/>
                    </w:rPr>
                  </w:pPr>
                  <w:r w:rsidRPr="00DC4050">
                    <w:rPr>
                      <w:sz w:val="24"/>
                      <w:szCs w:val="24"/>
                    </w:rPr>
                    <w:t xml:space="preserve">Insurance </w:t>
                  </w:r>
                  <w:r w:rsidRPr="00DC4050">
                    <w:rPr>
                      <w:sz w:val="24"/>
                      <w:szCs w:val="24"/>
                    </w:rPr>
                    <w:lastRenderedPageBreak/>
                    <w:t>Services Program</w:t>
                  </w:r>
                </w:p>
              </w:tc>
              <w:tc>
                <w:tcPr>
                  <w:tcW w:w="990" w:type="dxa"/>
                  <w:shd w:val="clear" w:color="auto" w:fill="auto"/>
                </w:tcPr>
                <w:p w:rsidR="00DC4050" w:rsidRPr="00DC4050" w:rsidRDefault="00DC4050" w:rsidP="00DC4050">
                  <w:pPr>
                    <w:rPr>
                      <w:sz w:val="24"/>
                      <w:szCs w:val="24"/>
                    </w:rPr>
                  </w:pPr>
                  <w:r w:rsidRPr="00DC4050">
                    <w:rPr>
                      <w:sz w:val="24"/>
                      <w:szCs w:val="24"/>
                    </w:rPr>
                    <w:lastRenderedPageBreak/>
                    <w:t>EMA</w:t>
                  </w:r>
                </w:p>
              </w:tc>
              <w:tc>
                <w:tcPr>
                  <w:tcW w:w="1350" w:type="dxa"/>
                  <w:shd w:val="clear" w:color="auto" w:fill="auto"/>
                </w:tcPr>
                <w:p w:rsidR="00DC4050" w:rsidRPr="00DC4050" w:rsidRDefault="00DC4050" w:rsidP="00DC4050">
                  <w:pPr>
                    <w:rPr>
                      <w:sz w:val="24"/>
                      <w:szCs w:val="24"/>
                    </w:rPr>
                  </w:pPr>
                  <w:r w:rsidRPr="00DC4050">
                    <w:rPr>
                      <w:sz w:val="24"/>
                      <w:szCs w:val="24"/>
                    </w:rPr>
                    <w:t>$695,566</w:t>
                  </w:r>
                </w:p>
              </w:tc>
              <w:tc>
                <w:tcPr>
                  <w:tcW w:w="1710" w:type="dxa"/>
                  <w:shd w:val="clear" w:color="auto" w:fill="auto"/>
                </w:tcPr>
                <w:p w:rsidR="00DC4050" w:rsidRPr="00DC4050" w:rsidRDefault="00DC4050" w:rsidP="00DC4050">
                  <w:pPr>
                    <w:rPr>
                      <w:sz w:val="24"/>
                      <w:szCs w:val="24"/>
                    </w:rPr>
                  </w:pPr>
                  <w:r w:rsidRPr="00DC4050">
                    <w:rPr>
                      <w:sz w:val="24"/>
                      <w:szCs w:val="24"/>
                    </w:rPr>
                    <w:t>$116,266</w:t>
                  </w:r>
                </w:p>
              </w:tc>
              <w:tc>
                <w:tcPr>
                  <w:tcW w:w="3389" w:type="dxa"/>
                  <w:shd w:val="clear" w:color="auto" w:fill="auto"/>
                </w:tcPr>
                <w:p w:rsidR="00DC4050" w:rsidRPr="00DC4050" w:rsidRDefault="00DC4050" w:rsidP="00DC4050">
                  <w:pPr>
                    <w:rPr>
                      <w:sz w:val="24"/>
                      <w:szCs w:val="24"/>
                    </w:rPr>
                  </w:pPr>
                  <w:r w:rsidRPr="00DC4050">
                    <w:rPr>
                      <w:sz w:val="24"/>
                      <w:szCs w:val="24"/>
                    </w:rPr>
                    <w:t>$811,532</w:t>
                  </w:r>
                </w:p>
              </w:tc>
            </w:tr>
            <w:tr w:rsidR="00DC4050" w:rsidRPr="00DC4050" w:rsidTr="00DC4050">
              <w:tc>
                <w:tcPr>
                  <w:tcW w:w="1417" w:type="dxa"/>
                  <w:shd w:val="clear" w:color="auto" w:fill="auto"/>
                </w:tcPr>
                <w:p w:rsidR="00DC4050" w:rsidRPr="00DC4050" w:rsidRDefault="00DC4050" w:rsidP="00DC4050">
                  <w:pPr>
                    <w:rPr>
                      <w:b/>
                      <w:sz w:val="24"/>
                      <w:szCs w:val="24"/>
                    </w:rPr>
                  </w:pPr>
                  <w:r w:rsidRPr="00DC4050">
                    <w:rPr>
                      <w:b/>
                      <w:sz w:val="24"/>
                      <w:szCs w:val="24"/>
                    </w:rPr>
                    <w:lastRenderedPageBreak/>
                    <w:t>Total</w:t>
                  </w:r>
                </w:p>
              </w:tc>
              <w:tc>
                <w:tcPr>
                  <w:tcW w:w="990" w:type="dxa"/>
                  <w:shd w:val="clear" w:color="auto" w:fill="auto"/>
                </w:tcPr>
                <w:p w:rsidR="00DC4050" w:rsidRPr="00DC4050" w:rsidRDefault="00DC4050" w:rsidP="00DC4050">
                  <w:pPr>
                    <w:rPr>
                      <w:sz w:val="24"/>
                      <w:szCs w:val="24"/>
                    </w:rPr>
                  </w:pPr>
                </w:p>
              </w:tc>
              <w:tc>
                <w:tcPr>
                  <w:tcW w:w="1350" w:type="dxa"/>
                  <w:shd w:val="clear" w:color="auto" w:fill="auto"/>
                </w:tcPr>
                <w:p w:rsidR="00DC4050" w:rsidRPr="00DC4050" w:rsidRDefault="00DC4050" w:rsidP="00DC4050">
                  <w:pPr>
                    <w:rPr>
                      <w:sz w:val="24"/>
                      <w:szCs w:val="24"/>
                    </w:rPr>
                  </w:pPr>
                </w:p>
              </w:tc>
              <w:tc>
                <w:tcPr>
                  <w:tcW w:w="1710" w:type="dxa"/>
                  <w:shd w:val="clear" w:color="auto" w:fill="auto"/>
                </w:tcPr>
                <w:p w:rsidR="00DC4050" w:rsidRPr="00DC4050" w:rsidRDefault="00DC4050" w:rsidP="00DC4050">
                  <w:pPr>
                    <w:rPr>
                      <w:b/>
                      <w:sz w:val="24"/>
                      <w:szCs w:val="24"/>
                    </w:rPr>
                  </w:pPr>
                  <w:r w:rsidRPr="00DC4050">
                    <w:rPr>
                      <w:b/>
                      <w:sz w:val="24"/>
                      <w:szCs w:val="24"/>
                    </w:rPr>
                    <w:t>$116,266</w:t>
                  </w:r>
                </w:p>
              </w:tc>
              <w:tc>
                <w:tcPr>
                  <w:tcW w:w="3389" w:type="dxa"/>
                  <w:shd w:val="clear" w:color="auto" w:fill="auto"/>
                </w:tcPr>
                <w:p w:rsidR="00DC4050" w:rsidRPr="00DC4050" w:rsidRDefault="00DC4050" w:rsidP="00DC4050">
                  <w:pPr>
                    <w:rPr>
                      <w:sz w:val="24"/>
                      <w:szCs w:val="24"/>
                    </w:rPr>
                  </w:pPr>
                </w:p>
              </w:tc>
            </w:tr>
          </w:tbl>
          <w:p w:rsidR="00DC4050" w:rsidRPr="00DC4050" w:rsidRDefault="00DC4050" w:rsidP="00DC4050">
            <w:pPr>
              <w:rPr>
                <w:rFonts w:ascii="Arial" w:hAnsi="Arial"/>
                <w:sz w:val="24"/>
                <w:szCs w:val="24"/>
              </w:rPr>
            </w:pPr>
          </w:p>
          <w:p w:rsidR="00DC4050" w:rsidRPr="00DC4050" w:rsidRDefault="00DC4050" w:rsidP="00DC4050">
            <w:pPr>
              <w:rPr>
                <w:rFonts w:ascii="Arial" w:hAnsi="Arial" w:cs="Arial"/>
                <w:b/>
                <w:sz w:val="24"/>
                <w:szCs w:val="24"/>
              </w:rPr>
            </w:pPr>
            <w:r w:rsidRPr="00DC4050">
              <w:rPr>
                <w:rFonts w:ascii="Arial" w:hAnsi="Arial" w:cs="Arial"/>
                <w:b/>
                <w:sz w:val="24"/>
                <w:szCs w:val="24"/>
              </w:rPr>
              <w:t xml:space="preserve">Jim Roth seconded the reallocation recommendation. The motion passed with 11 yes, 0 nay, </w:t>
            </w:r>
            <w:proofErr w:type="gramStart"/>
            <w:r w:rsidRPr="00DC4050">
              <w:rPr>
                <w:rFonts w:ascii="Arial" w:hAnsi="Arial" w:cs="Arial"/>
                <w:b/>
                <w:sz w:val="24"/>
                <w:szCs w:val="24"/>
              </w:rPr>
              <w:t>0</w:t>
            </w:r>
            <w:proofErr w:type="gramEnd"/>
            <w:r w:rsidRPr="00DC4050">
              <w:rPr>
                <w:rFonts w:ascii="Arial" w:hAnsi="Arial" w:cs="Arial"/>
                <w:b/>
                <w:sz w:val="24"/>
                <w:szCs w:val="24"/>
              </w:rPr>
              <w:t xml:space="preserve"> abstentions. </w:t>
            </w:r>
          </w:p>
          <w:p w:rsidR="00DC4050" w:rsidRDefault="00DC4050" w:rsidP="00DC40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lastRenderedPageBreak/>
              <w:t>COMMUNITY INPUT</w:t>
            </w:r>
            <w:r w:rsidR="00D17914">
              <w:rPr>
                <w:rFonts w:ascii="Arial" w:hAnsi="Arial" w:cs="Arial"/>
                <w:b/>
                <w:color w:val="000000"/>
                <w:sz w:val="24"/>
                <w:szCs w:val="24"/>
              </w:rPr>
              <w:t>/ANNOUNCEMENTS</w:t>
            </w:r>
            <w:r>
              <w:rPr>
                <w:rFonts w:ascii="Arial" w:hAnsi="Arial" w:cs="Arial"/>
                <w:b/>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2645A4" w:rsidRDefault="002645A4"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Shelley Taylor-Donahue informed the group that she will be leaving the Florida Department of Health – Pinellas County to work for the Florida Department of Health in Tallahassee. </w:t>
            </w:r>
          </w:p>
          <w:p w:rsidR="002645A4" w:rsidRDefault="002645A4"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95486" w:rsidRDefault="002645A4"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2645A4">
              <w:rPr>
                <w:rFonts w:ascii="Arial" w:hAnsi="Arial" w:cs="Arial"/>
                <w:color w:val="000000"/>
                <w:sz w:val="24"/>
                <w:szCs w:val="24"/>
              </w:rPr>
              <w:t>William Harper from ASAP will be leaving his position. There will be a farewell event on Monday, May 16th for him.</w:t>
            </w:r>
          </w:p>
          <w:p w:rsidR="002645A4" w:rsidRDefault="002645A4"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645A4" w:rsidRDefault="002645A4"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Community AIDS Network, in collaboration with Dr. </w:t>
            </w:r>
            <w:proofErr w:type="spellStart"/>
            <w:r>
              <w:rPr>
                <w:rFonts w:ascii="Arial" w:hAnsi="Arial" w:cs="Arial"/>
                <w:color w:val="000000"/>
                <w:sz w:val="24"/>
                <w:szCs w:val="24"/>
              </w:rPr>
              <w:t>Rodwick</w:t>
            </w:r>
            <w:proofErr w:type="spellEnd"/>
            <w:r>
              <w:rPr>
                <w:rFonts w:ascii="Arial" w:hAnsi="Arial" w:cs="Arial"/>
                <w:color w:val="000000"/>
                <w:sz w:val="24"/>
                <w:szCs w:val="24"/>
              </w:rPr>
              <w:t xml:space="preserve">, and METRO Wellness will begin seeing patients in Clearwater at their Sunset Point location. </w:t>
            </w:r>
            <w:bookmarkStart w:id="0" w:name="_GoBack"/>
            <w:bookmarkEnd w:id="0"/>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B869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4F7A5A">
              <w:rPr>
                <w:rFonts w:ascii="Arial" w:hAnsi="Arial" w:cs="Arial"/>
                <w:color w:val="000000"/>
                <w:sz w:val="24"/>
                <w:szCs w:val="24"/>
              </w:rPr>
              <w:t>meeting was adjourned at 12</w:t>
            </w:r>
            <w:r w:rsidR="00BD25AF">
              <w:rPr>
                <w:rFonts w:ascii="Arial" w:hAnsi="Arial" w:cs="Arial"/>
                <w:color w:val="000000"/>
                <w:sz w:val="24"/>
                <w:szCs w:val="24"/>
              </w:rPr>
              <w:t>:</w:t>
            </w:r>
            <w:r w:rsidR="00D17914">
              <w:rPr>
                <w:rFonts w:ascii="Arial" w:hAnsi="Arial" w:cs="Arial"/>
                <w:color w:val="000000"/>
                <w:sz w:val="24"/>
                <w:szCs w:val="24"/>
              </w:rPr>
              <w:t>10</w:t>
            </w:r>
            <w:r w:rsidR="004F7A5A">
              <w:rPr>
                <w:rFonts w:ascii="Arial" w:hAnsi="Arial" w:cs="Arial"/>
                <w:color w:val="000000"/>
                <w:sz w:val="24"/>
                <w:szCs w:val="24"/>
              </w:rPr>
              <w:t xml:space="preserve"> p</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5A4">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B228D"/>
    <w:rsid w:val="000B25FE"/>
    <w:rsid w:val="000B6CB9"/>
    <w:rsid w:val="000B79B4"/>
    <w:rsid w:val="000C0013"/>
    <w:rsid w:val="000C029D"/>
    <w:rsid w:val="000C53AB"/>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0AD0"/>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6863"/>
    <w:rsid w:val="002474C9"/>
    <w:rsid w:val="00254637"/>
    <w:rsid w:val="00254729"/>
    <w:rsid w:val="00262C46"/>
    <w:rsid w:val="002645A4"/>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F6AE2"/>
    <w:rsid w:val="00A01CBA"/>
    <w:rsid w:val="00A022CD"/>
    <w:rsid w:val="00A03955"/>
    <w:rsid w:val="00A03E9D"/>
    <w:rsid w:val="00A04555"/>
    <w:rsid w:val="00A07DBD"/>
    <w:rsid w:val="00A15918"/>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8D"/>
    <w:rsid w:val="00A8577F"/>
    <w:rsid w:val="00A86476"/>
    <w:rsid w:val="00A86A52"/>
    <w:rsid w:val="00A93BE3"/>
    <w:rsid w:val="00A972E8"/>
    <w:rsid w:val="00AA03CE"/>
    <w:rsid w:val="00AA1046"/>
    <w:rsid w:val="00AA5B23"/>
    <w:rsid w:val="00AB2594"/>
    <w:rsid w:val="00AC14A2"/>
    <w:rsid w:val="00AC3113"/>
    <w:rsid w:val="00AC3256"/>
    <w:rsid w:val="00AC64A6"/>
    <w:rsid w:val="00AD6F84"/>
    <w:rsid w:val="00AE1609"/>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FA1E-B65E-4C50-968A-32F39EB9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620</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25</cp:revision>
  <cp:lastPrinted>2011-12-13T15:53:00Z</cp:lastPrinted>
  <dcterms:created xsi:type="dcterms:W3CDTF">2016-03-30T15:06:00Z</dcterms:created>
  <dcterms:modified xsi:type="dcterms:W3CDTF">2016-05-23T20:32:00Z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