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8C5A8E" w:rsidRPr="008C5A8E"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STANDARDS, ISSUES AND OPERATIONS COMMITTEE (SIOC)</w:t>
      </w:r>
    </w:p>
    <w:p w:rsidR="008C5A8E" w:rsidRPr="008C5A8E"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CHILDREN’S BOARD OF HILLSBOROUGH COUNTY, TAMPA</w:t>
      </w:r>
    </w:p>
    <w:p w:rsidR="008C5A8E" w:rsidRPr="008C5A8E"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WEDNESDAY, MAY 4, 2016</w:t>
      </w:r>
    </w:p>
    <w:p w:rsidR="00E0134F"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szCs w:val="24"/>
        </w:rPr>
      </w:pPr>
      <w:r w:rsidRPr="008C5A8E">
        <w:rPr>
          <w:rFonts w:ascii="Arial" w:hAnsi="Arial" w:cs="Arial"/>
          <w:b/>
          <w:bCs/>
          <w:sz w:val="24"/>
          <w:szCs w:val="24"/>
        </w:rPr>
        <w:t>12:30PM-1:30PM</w:t>
      </w:r>
    </w:p>
    <w:p w:rsidR="008C5A8E" w:rsidRPr="0032437B" w:rsidRDefault="008C5A8E" w:rsidP="008C5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E14BCE">
            <w:pPr>
              <w:pStyle w:val="BodyText2"/>
              <w:jc w:val="both"/>
              <w:rPr>
                <w:color w:val="000000"/>
              </w:rPr>
            </w:pPr>
            <w:r w:rsidRPr="00637A44">
              <w:rPr>
                <w:color w:val="000000"/>
              </w:rPr>
              <w:t xml:space="preserve">The meeting was called to order by </w:t>
            </w:r>
            <w:r w:rsidR="008C5A8E">
              <w:rPr>
                <w:color w:val="000000"/>
              </w:rPr>
              <w:t>Brandi Geoit</w:t>
            </w:r>
            <w:r>
              <w:rPr>
                <w:color w:val="000000"/>
              </w:rPr>
              <w:t xml:space="preserve">, Chair at </w:t>
            </w:r>
            <w:r w:rsidR="00E14BCE">
              <w:rPr>
                <w:color w:val="000000"/>
              </w:rPr>
              <w:t>12:35</w:t>
            </w:r>
            <w:r>
              <w:rPr>
                <w:color w:val="000000"/>
              </w:rPr>
              <w:t xml:space="preserve"> </w:t>
            </w:r>
            <w:r w:rsidR="00E14BCE">
              <w:rPr>
                <w:color w:val="000000"/>
              </w:rPr>
              <w:t>p</w:t>
            </w:r>
            <w:r w:rsidRPr="00637A44">
              <w:rPr>
                <w:color w:val="000000"/>
              </w:rPr>
              <w:t xml:space="preserve">.m.  </w:t>
            </w:r>
          </w:p>
        </w:tc>
      </w:tr>
      <w:tr w:rsidR="00E0134F" w:rsidRPr="002752CF" w:rsidTr="00912D3E">
        <w:trPr>
          <w:trHeight w:val="873"/>
        </w:trPr>
        <w:tc>
          <w:tcPr>
            <w:tcW w:w="2734" w:type="dxa"/>
          </w:tcPr>
          <w:p w:rsidR="00E0134F" w:rsidRPr="00CE0E53" w:rsidRDefault="008C5A8E">
            <w:pPr>
              <w:pStyle w:val="Heading3"/>
              <w:keepNext w:val="0"/>
              <w:spacing w:before="120" w:after="120"/>
              <w:rPr>
                <w:color w:val="000000"/>
                <w:sz w:val="24"/>
                <w:szCs w:val="24"/>
              </w:rPr>
            </w:pPr>
            <w:r>
              <w:rPr>
                <w:color w:val="000000"/>
                <w:sz w:val="24"/>
                <w:szCs w:val="24"/>
              </w:rPr>
              <w:t xml:space="preserve">ROLL CALL AND INTRODUCTIONS </w:t>
            </w:r>
          </w:p>
        </w:tc>
        <w:tc>
          <w:tcPr>
            <w:tcW w:w="7706" w:type="dxa"/>
          </w:tcPr>
          <w:p w:rsidR="008C5A8E" w:rsidRDefault="008C5A8E" w:rsidP="008C5A8E">
            <w:pPr>
              <w:pStyle w:val="BodyText2"/>
              <w:spacing w:before="0" w:after="0"/>
              <w:jc w:val="both"/>
              <w:rPr>
                <w:color w:val="000000"/>
              </w:rPr>
            </w:pPr>
            <w:r w:rsidRPr="008C5A8E">
              <w:rPr>
                <w:color w:val="000000"/>
              </w:rPr>
              <w:t xml:space="preserve">Marty Clemmons </w:t>
            </w:r>
            <w:r>
              <w:rPr>
                <w:color w:val="000000"/>
              </w:rPr>
              <w:t xml:space="preserve">conducted the roll call. </w:t>
            </w:r>
          </w:p>
          <w:p w:rsidR="008C5A8E" w:rsidRDefault="008C5A8E" w:rsidP="008C5A8E">
            <w:pPr>
              <w:pStyle w:val="BodyText2"/>
              <w:spacing w:before="0" w:after="0"/>
              <w:jc w:val="both"/>
              <w:rPr>
                <w:color w:val="000000"/>
                <w:u w:val="single"/>
              </w:rPr>
            </w:pPr>
          </w:p>
          <w:p w:rsidR="008C5A8E" w:rsidRDefault="008C5A8E" w:rsidP="008C5A8E">
            <w:pPr>
              <w:pStyle w:val="BodyText2"/>
              <w:spacing w:before="0" w:after="0"/>
              <w:jc w:val="both"/>
              <w:rPr>
                <w:color w:val="000000"/>
              </w:rPr>
            </w:pPr>
            <w:r w:rsidRPr="008C5A8E">
              <w:rPr>
                <w:color w:val="000000"/>
                <w:u w:val="single"/>
              </w:rPr>
              <w:t>Members Present</w:t>
            </w:r>
            <w:r w:rsidRPr="008C5A8E">
              <w:rPr>
                <w:color w:val="000000"/>
              </w:rPr>
              <w:t>:</w:t>
            </w:r>
            <w:r>
              <w:rPr>
                <w:color w:val="000000"/>
              </w:rPr>
              <w:t xml:space="preserve"> Brandi Geoit, Marty Clemmons, Priya Rajkumar, Ginger Rockey-Johnson, Kirsty Gutierrez, Nolan Finn, Bernard </w:t>
            </w:r>
            <w:proofErr w:type="spellStart"/>
            <w:r>
              <w:rPr>
                <w:color w:val="000000"/>
              </w:rPr>
              <w:t>Washingston</w:t>
            </w:r>
            <w:proofErr w:type="spellEnd"/>
            <w:r>
              <w:rPr>
                <w:color w:val="000000"/>
              </w:rPr>
              <w:t xml:space="preserve">, Jr., </w:t>
            </w:r>
            <w:proofErr w:type="spellStart"/>
            <w:r>
              <w:rPr>
                <w:color w:val="000000"/>
              </w:rPr>
              <w:t>Pamella</w:t>
            </w:r>
            <w:proofErr w:type="spellEnd"/>
            <w:r>
              <w:rPr>
                <w:color w:val="000000"/>
              </w:rPr>
              <w:t xml:space="preserve"> Sabella </w:t>
            </w:r>
          </w:p>
          <w:p w:rsidR="008C5A8E" w:rsidRDefault="008C5A8E" w:rsidP="008C5A8E">
            <w:pPr>
              <w:pStyle w:val="BodyText2"/>
              <w:spacing w:before="0" w:after="0"/>
              <w:jc w:val="both"/>
              <w:rPr>
                <w:color w:val="000000"/>
                <w:u w:val="single"/>
              </w:rPr>
            </w:pPr>
          </w:p>
          <w:p w:rsidR="008C5A8E" w:rsidRDefault="008C5A8E" w:rsidP="008C5A8E">
            <w:pPr>
              <w:pStyle w:val="BodyText2"/>
              <w:spacing w:before="0" w:after="0"/>
              <w:jc w:val="both"/>
              <w:rPr>
                <w:color w:val="000000"/>
              </w:rPr>
            </w:pPr>
            <w:r w:rsidRPr="008C5A8E">
              <w:rPr>
                <w:color w:val="000000"/>
                <w:u w:val="single"/>
              </w:rPr>
              <w:t>Guests Present</w:t>
            </w:r>
            <w:r>
              <w:rPr>
                <w:color w:val="000000"/>
              </w:rPr>
              <w:t>:</w:t>
            </w:r>
            <w:r w:rsidR="000555B8">
              <w:rPr>
                <w:color w:val="000000"/>
              </w:rPr>
              <w:t xml:space="preserve"> Julie Gnage, Elizabeth Rugg, Lisa Nugent </w:t>
            </w:r>
          </w:p>
          <w:p w:rsidR="000555B8" w:rsidRDefault="000555B8" w:rsidP="008C5A8E">
            <w:pPr>
              <w:pStyle w:val="BodyText2"/>
              <w:spacing w:before="0" w:after="0"/>
              <w:jc w:val="both"/>
              <w:rPr>
                <w:color w:val="000000"/>
              </w:rPr>
            </w:pPr>
          </w:p>
          <w:p w:rsidR="000555B8" w:rsidRDefault="000555B8" w:rsidP="008C5A8E">
            <w:pPr>
              <w:pStyle w:val="BodyText2"/>
              <w:spacing w:before="0" w:after="0"/>
              <w:jc w:val="both"/>
              <w:rPr>
                <w:color w:val="000000"/>
              </w:rPr>
            </w:pPr>
            <w:r w:rsidRPr="000555B8">
              <w:rPr>
                <w:color w:val="000000"/>
                <w:u w:val="single"/>
              </w:rPr>
              <w:t>Recipient Staff Present</w:t>
            </w:r>
            <w:r>
              <w:rPr>
                <w:color w:val="000000"/>
              </w:rPr>
              <w:t xml:space="preserve">: Collette Lawson </w:t>
            </w:r>
          </w:p>
          <w:p w:rsidR="000555B8" w:rsidRDefault="000555B8" w:rsidP="008C5A8E">
            <w:pPr>
              <w:pStyle w:val="BodyText2"/>
              <w:spacing w:before="0" w:after="0"/>
              <w:jc w:val="both"/>
              <w:rPr>
                <w:color w:val="000000"/>
              </w:rPr>
            </w:pPr>
          </w:p>
          <w:p w:rsidR="000555B8" w:rsidRDefault="000555B8" w:rsidP="008C5A8E">
            <w:pPr>
              <w:pStyle w:val="BodyText2"/>
              <w:spacing w:before="0" w:after="0"/>
              <w:jc w:val="both"/>
              <w:rPr>
                <w:color w:val="000000"/>
              </w:rPr>
            </w:pPr>
            <w:r w:rsidRPr="000555B8">
              <w:rPr>
                <w:color w:val="000000"/>
                <w:u w:val="single"/>
              </w:rPr>
              <w:t>Lead Agency Staff Present</w:t>
            </w:r>
            <w:r>
              <w:rPr>
                <w:color w:val="000000"/>
              </w:rPr>
              <w:t xml:space="preserve">: Demarcus Holden </w:t>
            </w:r>
          </w:p>
          <w:p w:rsidR="00567307" w:rsidRDefault="00567307" w:rsidP="008C5A8E">
            <w:pPr>
              <w:pStyle w:val="BodyText2"/>
              <w:spacing w:before="0" w:after="0"/>
              <w:jc w:val="both"/>
              <w:rPr>
                <w:color w:val="000000"/>
              </w:rPr>
            </w:pPr>
          </w:p>
          <w:p w:rsidR="00567307" w:rsidRPr="008C5A8E" w:rsidRDefault="00567307" w:rsidP="008C5A8E">
            <w:pPr>
              <w:pStyle w:val="BodyText2"/>
              <w:spacing w:before="0" w:after="0"/>
              <w:jc w:val="both"/>
              <w:rPr>
                <w:color w:val="000000"/>
                <w:u w:val="single"/>
              </w:rPr>
            </w:pPr>
            <w:r w:rsidRPr="00567307">
              <w:rPr>
                <w:color w:val="000000"/>
                <w:u w:val="single"/>
              </w:rPr>
              <w:t>Health Council Staff Present</w:t>
            </w:r>
            <w:r>
              <w:rPr>
                <w:color w:val="000000"/>
              </w:rPr>
              <w:t>: Samantha Church</w:t>
            </w:r>
          </w:p>
          <w:p w:rsidR="00E0134F" w:rsidRPr="002752CF" w:rsidRDefault="00E0134F" w:rsidP="00393BFC">
            <w:pPr>
              <w:pStyle w:val="BodyText2"/>
              <w:spacing w:after="0"/>
              <w:jc w:val="both"/>
              <w:rPr>
                <w:color w:val="0000FF"/>
                <w:sz w:val="16"/>
                <w:szCs w:val="16"/>
              </w:rPr>
            </w:pPr>
          </w:p>
        </w:tc>
      </w:tr>
      <w:tr w:rsidR="00E0134F" w:rsidRPr="002752CF" w:rsidTr="00192528">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613CFB" w:rsidRDefault="00613CFB" w:rsidP="00613CFB">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E0134F" w:rsidRPr="001A03E9" w:rsidRDefault="00E0134F" w:rsidP="00F14EED">
            <w:pPr>
              <w:pStyle w:val="BodyText2"/>
              <w:jc w:val="both"/>
              <w:rPr>
                <w:color w:val="000000"/>
              </w:rPr>
            </w:pPr>
          </w:p>
        </w:tc>
      </w:tr>
      <w:tr w:rsidR="0056519E" w:rsidRPr="002752CF" w:rsidTr="00192528">
        <w:trPr>
          <w:trHeight w:val="720"/>
        </w:trPr>
        <w:tc>
          <w:tcPr>
            <w:tcW w:w="2734" w:type="dxa"/>
          </w:tcPr>
          <w:p w:rsidR="0056519E" w:rsidRDefault="0056519E" w:rsidP="0056519E">
            <w:pPr>
              <w:pStyle w:val="Heading3"/>
              <w:keepNext w:val="0"/>
              <w:rPr>
                <w:color w:val="000000"/>
                <w:sz w:val="24"/>
                <w:szCs w:val="24"/>
              </w:rPr>
            </w:pPr>
          </w:p>
          <w:p w:rsidR="0056519E" w:rsidRPr="00CE0E53" w:rsidRDefault="00192528" w:rsidP="0056519E">
            <w:pPr>
              <w:pStyle w:val="Heading3"/>
              <w:keepNext w:val="0"/>
              <w:rPr>
                <w:color w:val="000000"/>
                <w:sz w:val="24"/>
                <w:szCs w:val="24"/>
              </w:rPr>
            </w:pPr>
            <w:r>
              <w:rPr>
                <w:color w:val="000000"/>
                <w:sz w:val="24"/>
                <w:szCs w:val="24"/>
              </w:rPr>
              <w:t xml:space="preserve">PART B ALLOCATION RECOMMENDATION </w:t>
            </w:r>
          </w:p>
        </w:tc>
        <w:tc>
          <w:tcPr>
            <w:tcW w:w="7706" w:type="dxa"/>
          </w:tcPr>
          <w:p w:rsidR="0056519E" w:rsidRDefault="0056519E" w:rsidP="0056519E">
            <w:pPr>
              <w:rPr>
                <w:rFonts w:ascii="Arial" w:hAnsi="Arial" w:cs="Arial"/>
                <w:sz w:val="24"/>
                <w:szCs w:val="24"/>
              </w:rPr>
            </w:pPr>
          </w:p>
          <w:p w:rsidR="00A82459" w:rsidRDefault="00192528" w:rsidP="00192528">
            <w:pPr>
              <w:pStyle w:val="BodyText2"/>
              <w:spacing w:before="0" w:after="0"/>
              <w:jc w:val="both"/>
              <w:rPr>
                <w:color w:val="000000"/>
              </w:rPr>
            </w:pPr>
            <w:r>
              <w:rPr>
                <w:color w:val="000000"/>
              </w:rPr>
              <w:t>Demarcus Holden</w:t>
            </w:r>
            <w:r w:rsidR="00B972D4">
              <w:rPr>
                <w:color w:val="000000"/>
              </w:rPr>
              <w:t xml:space="preserve"> notified the group that the Insurance Services Program </w:t>
            </w:r>
            <w:r w:rsidR="00A82459">
              <w:rPr>
                <w:color w:val="000000"/>
              </w:rPr>
              <w:t xml:space="preserve">(ISP) </w:t>
            </w:r>
            <w:r w:rsidR="00B972D4">
              <w:rPr>
                <w:color w:val="000000"/>
              </w:rPr>
              <w:t xml:space="preserve">is no longer accepting new clients and some </w:t>
            </w:r>
            <w:r w:rsidR="00A82459">
              <w:rPr>
                <w:color w:val="000000"/>
              </w:rPr>
              <w:t xml:space="preserve">currently </w:t>
            </w:r>
            <w:r w:rsidR="00B972D4">
              <w:rPr>
                <w:color w:val="000000"/>
              </w:rPr>
              <w:t xml:space="preserve">waitlisted clients </w:t>
            </w:r>
            <w:r w:rsidR="00A82459">
              <w:rPr>
                <w:color w:val="000000"/>
              </w:rPr>
              <w:t xml:space="preserve">may not be </w:t>
            </w:r>
            <w:r w:rsidR="00B972D4">
              <w:rPr>
                <w:color w:val="000000"/>
              </w:rPr>
              <w:t xml:space="preserve">able to be served this month due to insufficient </w:t>
            </w:r>
            <w:r w:rsidR="00A82459">
              <w:rPr>
                <w:color w:val="000000"/>
              </w:rPr>
              <w:t xml:space="preserve">funding. </w:t>
            </w:r>
          </w:p>
          <w:p w:rsidR="00A82459" w:rsidRDefault="00A82459" w:rsidP="00192528">
            <w:pPr>
              <w:pStyle w:val="BodyText2"/>
              <w:spacing w:before="0" w:after="0"/>
              <w:jc w:val="both"/>
              <w:rPr>
                <w:color w:val="000000"/>
              </w:rPr>
            </w:pPr>
          </w:p>
          <w:p w:rsidR="00A24D37" w:rsidRDefault="00A82459" w:rsidP="00192528">
            <w:pPr>
              <w:pStyle w:val="BodyText2"/>
              <w:spacing w:before="0" w:after="0"/>
              <w:jc w:val="both"/>
              <w:rPr>
                <w:color w:val="000000"/>
              </w:rPr>
            </w:pPr>
            <w:r>
              <w:rPr>
                <w:color w:val="000000"/>
              </w:rPr>
              <w:t xml:space="preserve">The group discussed that 200 new clients enrolled into the ISP program between January and March of this year. There are currently 70 enrolled premium clients, 120 enrolled co-pay clients and 758 waitlisted clients. The community has seen an increase in clients enrolling in case management services as well as ISP. The community has also noticed an increase in insurance premium costs. </w:t>
            </w:r>
          </w:p>
          <w:p w:rsidR="00A82459" w:rsidRDefault="00A82459" w:rsidP="00192528">
            <w:pPr>
              <w:pStyle w:val="BodyText2"/>
              <w:spacing w:before="0" w:after="0"/>
              <w:jc w:val="both"/>
              <w:rPr>
                <w:color w:val="000000"/>
              </w:rPr>
            </w:pPr>
          </w:p>
          <w:p w:rsidR="00A82459" w:rsidRDefault="00A82459" w:rsidP="00192528">
            <w:pPr>
              <w:pStyle w:val="BodyText2"/>
              <w:spacing w:before="0" w:after="0"/>
              <w:jc w:val="both"/>
              <w:rPr>
                <w:color w:val="000000"/>
              </w:rPr>
            </w:pPr>
            <w:r>
              <w:rPr>
                <w:color w:val="000000"/>
              </w:rPr>
              <w:lastRenderedPageBreak/>
              <w:t>The SIOC meeting was called to provide temporary assistance to ISP, but there is a need to continue to discuss unmet need at the Resource</w:t>
            </w:r>
            <w:r w:rsidR="002D3B7C">
              <w:rPr>
                <w:color w:val="000000"/>
              </w:rPr>
              <w:t>,</w:t>
            </w:r>
            <w:r>
              <w:rPr>
                <w:color w:val="000000"/>
              </w:rPr>
              <w:t xml:space="preserve"> Prioritization and Allocation Recommendations Committee (RPARC).  </w:t>
            </w:r>
          </w:p>
          <w:p w:rsidR="00192528" w:rsidRDefault="00192528" w:rsidP="00192528">
            <w:pPr>
              <w:pStyle w:val="BodyText2"/>
              <w:spacing w:before="0" w:after="0"/>
              <w:jc w:val="both"/>
              <w:rPr>
                <w:color w:val="000000"/>
              </w:rPr>
            </w:pPr>
          </w:p>
          <w:p w:rsidR="00192528" w:rsidRDefault="00236382" w:rsidP="00192528">
            <w:pPr>
              <w:pStyle w:val="BodyText2"/>
              <w:spacing w:before="0" w:after="0"/>
              <w:jc w:val="both"/>
              <w:rPr>
                <w:color w:val="000000"/>
              </w:rPr>
            </w:pPr>
            <w:r>
              <w:rPr>
                <w:color w:val="000000"/>
              </w:rPr>
              <w:t xml:space="preserve">Demarcus Holden presented the following recommendation: </w:t>
            </w:r>
          </w:p>
          <w:tbl>
            <w:tblPr>
              <w:tblStyle w:val="TableGrid"/>
              <w:tblW w:w="5827" w:type="dxa"/>
              <w:tblLayout w:type="fixed"/>
              <w:tblLook w:val="04A0" w:firstRow="1" w:lastRow="0" w:firstColumn="1" w:lastColumn="0" w:noHBand="0" w:noVBand="1"/>
            </w:tblPr>
            <w:tblGrid>
              <w:gridCol w:w="1777"/>
              <w:gridCol w:w="1170"/>
              <w:gridCol w:w="1440"/>
              <w:gridCol w:w="1440"/>
            </w:tblGrid>
            <w:tr w:rsidR="00151781" w:rsidRPr="00721644" w:rsidTr="00151781">
              <w:tc>
                <w:tcPr>
                  <w:tcW w:w="1777" w:type="dxa"/>
                </w:tcPr>
                <w:p w:rsidR="00236382" w:rsidRPr="00AF16AD" w:rsidRDefault="00236382" w:rsidP="00F53C5D">
                  <w:pPr>
                    <w:jc w:val="center"/>
                    <w:rPr>
                      <w:rFonts w:ascii="Arial" w:hAnsi="Arial" w:cs="Arial"/>
                      <w:b/>
                    </w:rPr>
                  </w:pPr>
                  <w:r w:rsidRPr="00AF16AD">
                    <w:rPr>
                      <w:rFonts w:ascii="Arial" w:hAnsi="Arial" w:cs="Arial"/>
                      <w:b/>
                    </w:rPr>
                    <w:t>FUNDS</w:t>
                  </w:r>
                </w:p>
              </w:tc>
              <w:tc>
                <w:tcPr>
                  <w:tcW w:w="1170" w:type="dxa"/>
                </w:tcPr>
                <w:p w:rsidR="00236382" w:rsidRPr="00AF16AD" w:rsidRDefault="00236382" w:rsidP="00F53C5D">
                  <w:pPr>
                    <w:jc w:val="center"/>
                    <w:rPr>
                      <w:rFonts w:ascii="Arial" w:hAnsi="Arial" w:cs="Arial"/>
                      <w:b/>
                    </w:rPr>
                  </w:pPr>
                  <w:r w:rsidRPr="00AF16AD">
                    <w:rPr>
                      <w:rFonts w:ascii="Arial" w:hAnsi="Arial" w:cs="Arial"/>
                      <w:b/>
                    </w:rPr>
                    <w:t>AMOUNT</w:t>
                  </w:r>
                </w:p>
              </w:tc>
              <w:tc>
                <w:tcPr>
                  <w:tcW w:w="1440" w:type="dxa"/>
                </w:tcPr>
                <w:p w:rsidR="00236382" w:rsidRPr="00AF16AD" w:rsidRDefault="00236382" w:rsidP="00F53C5D">
                  <w:pPr>
                    <w:jc w:val="center"/>
                    <w:rPr>
                      <w:rFonts w:ascii="Arial" w:hAnsi="Arial" w:cs="Arial"/>
                      <w:b/>
                    </w:rPr>
                  </w:pPr>
                  <w:r w:rsidRPr="00AF16AD">
                    <w:rPr>
                      <w:rFonts w:ascii="Arial" w:hAnsi="Arial" w:cs="Arial"/>
                      <w:b/>
                    </w:rPr>
                    <w:t>SERVICES</w:t>
                  </w:r>
                </w:p>
              </w:tc>
              <w:tc>
                <w:tcPr>
                  <w:tcW w:w="1440" w:type="dxa"/>
                </w:tcPr>
                <w:p w:rsidR="00236382" w:rsidRPr="00AF16AD" w:rsidRDefault="00236382" w:rsidP="00F53C5D">
                  <w:pPr>
                    <w:jc w:val="center"/>
                    <w:rPr>
                      <w:rFonts w:ascii="Arial" w:hAnsi="Arial" w:cs="Arial"/>
                      <w:b/>
                    </w:rPr>
                  </w:pPr>
                  <w:r w:rsidRPr="00AF16AD">
                    <w:rPr>
                      <w:rFonts w:ascii="Arial" w:hAnsi="Arial" w:cs="Arial"/>
                      <w:b/>
                    </w:rPr>
                    <w:t>DATES</w:t>
                  </w:r>
                </w:p>
              </w:tc>
            </w:tr>
            <w:tr w:rsidR="00151781" w:rsidTr="00151781">
              <w:tc>
                <w:tcPr>
                  <w:tcW w:w="1777" w:type="dxa"/>
                </w:tcPr>
                <w:p w:rsidR="00236382" w:rsidRPr="00AF16AD" w:rsidRDefault="00151781" w:rsidP="00F53C5D">
                  <w:pPr>
                    <w:jc w:val="center"/>
                    <w:rPr>
                      <w:rFonts w:ascii="Arial" w:hAnsi="Arial" w:cs="Arial"/>
                    </w:rPr>
                  </w:pPr>
                  <w:r>
                    <w:rPr>
                      <w:rFonts w:ascii="Arial" w:hAnsi="Arial" w:cs="Arial"/>
                    </w:rPr>
                    <w:t xml:space="preserve">Part B </w:t>
                  </w:r>
                  <w:r w:rsidR="00236382" w:rsidRPr="00AF16AD">
                    <w:rPr>
                      <w:rFonts w:ascii="Arial" w:hAnsi="Arial" w:cs="Arial"/>
                    </w:rPr>
                    <w:t>General Revenue</w:t>
                  </w:r>
                </w:p>
              </w:tc>
              <w:tc>
                <w:tcPr>
                  <w:tcW w:w="1170" w:type="dxa"/>
                </w:tcPr>
                <w:p w:rsidR="00236382" w:rsidRPr="00AF16AD" w:rsidRDefault="00236382" w:rsidP="00F53C5D">
                  <w:pPr>
                    <w:jc w:val="center"/>
                    <w:rPr>
                      <w:rFonts w:ascii="Arial" w:hAnsi="Arial" w:cs="Arial"/>
                    </w:rPr>
                  </w:pPr>
                  <w:r w:rsidRPr="00AF16AD">
                    <w:rPr>
                      <w:rFonts w:ascii="Arial" w:hAnsi="Arial" w:cs="Arial"/>
                    </w:rPr>
                    <w:t>$15,000</w:t>
                  </w:r>
                </w:p>
              </w:tc>
              <w:tc>
                <w:tcPr>
                  <w:tcW w:w="1440" w:type="dxa"/>
                </w:tcPr>
                <w:p w:rsidR="00236382" w:rsidRPr="00AF16AD" w:rsidRDefault="00236382" w:rsidP="00F53C5D">
                  <w:pPr>
                    <w:jc w:val="center"/>
                    <w:rPr>
                      <w:rFonts w:ascii="Arial" w:hAnsi="Arial" w:cs="Arial"/>
                    </w:rPr>
                  </w:pPr>
                  <w:r w:rsidRPr="00AF16AD">
                    <w:rPr>
                      <w:rFonts w:ascii="Arial" w:hAnsi="Arial" w:cs="Arial"/>
                    </w:rPr>
                    <w:t>Insurance Service Program (ISP)</w:t>
                  </w:r>
                </w:p>
              </w:tc>
              <w:tc>
                <w:tcPr>
                  <w:tcW w:w="1440" w:type="dxa"/>
                </w:tcPr>
                <w:p w:rsidR="00236382" w:rsidRPr="00AF16AD" w:rsidRDefault="00236382" w:rsidP="00F53C5D">
                  <w:pPr>
                    <w:jc w:val="center"/>
                    <w:rPr>
                      <w:rFonts w:ascii="Arial" w:hAnsi="Arial" w:cs="Arial"/>
                    </w:rPr>
                  </w:pPr>
                  <w:r w:rsidRPr="00AF16AD">
                    <w:rPr>
                      <w:rFonts w:ascii="Arial" w:hAnsi="Arial" w:cs="Arial"/>
                    </w:rPr>
                    <w:t>5/1/2016 – 6/30/2016</w:t>
                  </w:r>
                </w:p>
              </w:tc>
            </w:tr>
          </w:tbl>
          <w:p w:rsidR="00236382" w:rsidRPr="00236382" w:rsidRDefault="00AF16AD" w:rsidP="00192528">
            <w:pPr>
              <w:pStyle w:val="BodyText2"/>
              <w:spacing w:before="0" w:after="0"/>
              <w:jc w:val="both"/>
              <w:rPr>
                <w:b/>
                <w:color w:val="000000"/>
              </w:rPr>
            </w:pPr>
            <w:r>
              <w:rPr>
                <w:b/>
                <w:color w:val="000000"/>
              </w:rPr>
              <w:t>Approve the allocation recommendation for general revenue funds</w:t>
            </w:r>
            <w:r w:rsidR="00236382" w:rsidRPr="00236382">
              <w:rPr>
                <w:b/>
                <w:color w:val="000000"/>
              </w:rPr>
              <w:t>.</w:t>
            </w:r>
            <w:r w:rsidR="00236382">
              <w:rPr>
                <w:b/>
                <w:color w:val="000000"/>
              </w:rPr>
              <w:t xml:space="preserve"> </w:t>
            </w:r>
            <w:r w:rsidR="00236382" w:rsidRPr="00236382">
              <w:rPr>
                <w:b/>
                <w:color w:val="000000"/>
              </w:rPr>
              <w:t xml:space="preserve">Nolan Finn seconded the motion. The motion passed by acclamation. </w:t>
            </w:r>
            <w:bookmarkStart w:id="0" w:name="_GoBack"/>
            <w:bookmarkEnd w:id="0"/>
          </w:p>
          <w:p w:rsidR="00192528" w:rsidRPr="000524A7" w:rsidRDefault="00192528" w:rsidP="00192528">
            <w:pPr>
              <w:pStyle w:val="BodyText2"/>
              <w:spacing w:before="0" w:after="0"/>
              <w:jc w:val="both"/>
              <w:rPr>
                <w:color w:val="000000"/>
              </w:rPr>
            </w:pPr>
          </w:p>
        </w:tc>
      </w:tr>
      <w:tr w:rsidR="00653D83" w:rsidRPr="008745D0" w:rsidTr="00192528">
        <w:trPr>
          <w:trHeight w:val="747"/>
        </w:trPr>
        <w:tc>
          <w:tcPr>
            <w:tcW w:w="2734" w:type="dxa"/>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B869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192528">
              <w:rPr>
                <w:rFonts w:ascii="Arial" w:hAnsi="Arial" w:cs="Arial"/>
                <w:color w:val="000000"/>
                <w:sz w:val="24"/>
                <w:szCs w:val="24"/>
              </w:rPr>
              <w:t>meeting was adjourned at 1</w:t>
            </w:r>
            <w:r w:rsidR="00BD25AF">
              <w:rPr>
                <w:rFonts w:ascii="Arial" w:hAnsi="Arial" w:cs="Arial"/>
                <w:color w:val="000000"/>
                <w:sz w:val="24"/>
                <w:szCs w:val="24"/>
              </w:rPr>
              <w:t>:</w:t>
            </w:r>
            <w:r w:rsidR="00192528">
              <w:rPr>
                <w:rFonts w:ascii="Arial" w:hAnsi="Arial" w:cs="Arial"/>
                <w:color w:val="000000"/>
                <w:sz w:val="24"/>
                <w:szCs w:val="24"/>
              </w:rPr>
              <w:t>13</w:t>
            </w:r>
            <w:r w:rsidR="004F7A5A">
              <w:rPr>
                <w:rFonts w:ascii="Arial" w:hAnsi="Arial" w:cs="Arial"/>
                <w:color w:val="000000"/>
                <w:sz w:val="24"/>
                <w:szCs w:val="24"/>
              </w:rPr>
              <w:t xml:space="preserve"> p</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781">
      <w:rPr>
        <w:rStyle w:val="PageNumber"/>
        <w:noProof/>
      </w:rPr>
      <w:t>2</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5B8"/>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33EE9"/>
    <w:rsid w:val="00140292"/>
    <w:rsid w:val="00140F0A"/>
    <w:rsid w:val="00141004"/>
    <w:rsid w:val="001456DD"/>
    <w:rsid w:val="00151781"/>
    <w:rsid w:val="00154C76"/>
    <w:rsid w:val="0015542D"/>
    <w:rsid w:val="00170191"/>
    <w:rsid w:val="0017196F"/>
    <w:rsid w:val="00177F47"/>
    <w:rsid w:val="001822A8"/>
    <w:rsid w:val="00182AB3"/>
    <w:rsid w:val="00192528"/>
    <w:rsid w:val="001941D1"/>
    <w:rsid w:val="00194EB4"/>
    <w:rsid w:val="001A03E9"/>
    <w:rsid w:val="001A5B4A"/>
    <w:rsid w:val="001A7E78"/>
    <w:rsid w:val="001B398D"/>
    <w:rsid w:val="001B4CB1"/>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36382"/>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3B7C"/>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A5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67307"/>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0515"/>
    <w:rsid w:val="00613CFB"/>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5A8E"/>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F6AE2"/>
    <w:rsid w:val="00A01CBA"/>
    <w:rsid w:val="00A022CD"/>
    <w:rsid w:val="00A03955"/>
    <w:rsid w:val="00A03E9D"/>
    <w:rsid w:val="00A04555"/>
    <w:rsid w:val="00A07DBD"/>
    <w:rsid w:val="00A15918"/>
    <w:rsid w:val="00A21AC6"/>
    <w:rsid w:val="00A24D37"/>
    <w:rsid w:val="00A2692E"/>
    <w:rsid w:val="00A30FD1"/>
    <w:rsid w:val="00A47598"/>
    <w:rsid w:val="00A47BC4"/>
    <w:rsid w:val="00A51E11"/>
    <w:rsid w:val="00A521D5"/>
    <w:rsid w:val="00A54260"/>
    <w:rsid w:val="00A54797"/>
    <w:rsid w:val="00A5598F"/>
    <w:rsid w:val="00A64B8A"/>
    <w:rsid w:val="00A64E25"/>
    <w:rsid w:val="00A672A6"/>
    <w:rsid w:val="00A7318B"/>
    <w:rsid w:val="00A7520D"/>
    <w:rsid w:val="00A77A7E"/>
    <w:rsid w:val="00A82459"/>
    <w:rsid w:val="00A827EA"/>
    <w:rsid w:val="00A845BE"/>
    <w:rsid w:val="00A8470D"/>
    <w:rsid w:val="00A8485C"/>
    <w:rsid w:val="00A84F8D"/>
    <w:rsid w:val="00A8577F"/>
    <w:rsid w:val="00A86476"/>
    <w:rsid w:val="00A86A52"/>
    <w:rsid w:val="00A93BE3"/>
    <w:rsid w:val="00A972E8"/>
    <w:rsid w:val="00AA03CE"/>
    <w:rsid w:val="00AA1046"/>
    <w:rsid w:val="00AA5B23"/>
    <w:rsid w:val="00AB2594"/>
    <w:rsid w:val="00AC14A2"/>
    <w:rsid w:val="00AC3113"/>
    <w:rsid w:val="00AC3256"/>
    <w:rsid w:val="00AC64A6"/>
    <w:rsid w:val="00AD6F84"/>
    <w:rsid w:val="00AE1609"/>
    <w:rsid w:val="00AF143C"/>
    <w:rsid w:val="00AF16AD"/>
    <w:rsid w:val="00AF3F43"/>
    <w:rsid w:val="00AF4CD8"/>
    <w:rsid w:val="00AF5E91"/>
    <w:rsid w:val="00AF6B5D"/>
    <w:rsid w:val="00AF7270"/>
    <w:rsid w:val="00B10A03"/>
    <w:rsid w:val="00B11259"/>
    <w:rsid w:val="00B13108"/>
    <w:rsid w:val="00B23892"/>
    <w:rsid w:val="00B24F08"/>
    <w:rsid w:val="00B265B9"/>
    <w:rsid w:val="00B31C8D"/>
    <w:rsid w:val="00B337E9"/>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972D4"/>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02AC"/>
    <w:rsid w:val="00C5215B"/>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D44"/>
    <w:rsid w:val="00CC5220"/>
    <w:rsid w:val="00CC681B"/>
    <w:rsid w:val="00CC7800"/>
    <w:rsid w:val="00CC7E9E"/>
    <w:rsid w:val="00CD0C82"/>
    <w:rsid w:val="00CD5076"/>
    <w:rsid w:val="00CD6869"/>
    <w:rsid w:val="00CE0E53"/>
    <w:rsid w:val="00CE184D"/>
    <w:rsid w:val="00CF1A0D"/>
    <w:rsid w:val="00CF26D0"/>
    <w:rsid w:val="00CF7788"/>
    <w:rsid w:val="00D03592"/>
    <w:rsid w:val="00D049E9"/>
    <w:rsid w:val="00D11060"/>
    <w:rsid w:val="00D1306D"/>
    <w:rsid w:val="00D1337A"/>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08E6"/>
    <w:rsid w:val="00DE315E"/>
    <w:rsid w:val="00DE63AD"/>
    <w:rsid w:val="00DF10F4"/>
    <w:rsid w:val="00DF1CA1"/>
    <w:rsid w:val="00DF4B2B"/>
    <w:rsid w:val="00DF5C3C"/>
    <w:rsid w:val="00DF660F"/>
    <w:rsid w:val="00DF664F"/>
    <w:rsid w:val="00E0134F"/>
    <w:rsid w:val="00E025E7"/>
    <w:rsid w:val="00E0371C"/>
    <w:rsid w:val="00E06202"/>
    <w:rsid w:val="00E14BCE"/>
    <w:rsid w:val="00E240A7"/>
    <w:rsid w:val="00E254D4"/>
    <w:rsid w:val="00E26131"/>
    <w:rsid w:val="00E27A41"/>
    <w:rsid w:val="00E27F3B"/>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table" w:styleId="TableGrid">
    <w:name w:val="Table Grid"/>
    <w:basedOn w:val="TableNormal"/>
    <w:uiPriority w:val="59"/>
    <w:locked/>
    <w:rsid w:val="0023638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table" w:styleId="TableGrid">
    <w:name w:val="Table Grid"/>
    <w:basedOn w:val="TableNormal"/>
    <w:uiPriority w:val="59"/>
    <w:locked/>
    <w:rsid w:val="0023638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D4F7-4486-4485-966A-179EC4F7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297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10</cp:revision>
  <cp:lastPrinted>2011-12-13T15:53:00Z</cp:lastPrinted>
  <dcterms:created xsi:type="dcterms:W3CDTF">2016-05-11T17:08:00Z</dcterms:created>
  <dcterms:modified xsi:type="dcterms:W3CDTF">2016-05-16T15:36:00Z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