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5556" w14:textId="77777777" w:rsidR="008C6D99" w:rsidRPr="00FF42A6" w:rsidRDefault="00D36DC7" w:rsidP="00D36DC7">
      <w:pPr>
        <w:jc w:val="center"/>
        <w:rPr>
          <w:highlight w:val="yellow"/>
        </w:rPr>
      </w:pPr>
      <w:r w:rsidRPr="00FF42A6">
        <w:rPr>
          <w:noProof/>
          <w:highlight w:val="yellow"/>
        </w:rPr>
        <w:drawing>
          <wp:inline distT="0" distB="0" distL="0" distR="0" wp14:anchorId="55A655B1" wp14:editId="55A655B2">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55A65557" w14:textId="77777777" w:rsidR="00916394" w:rsidRPr="00F15FD4" w:rsidRDefault="00916394" w:rsidP="00916394">
      <w:pPr>
        <w:spacing w:after="0" w:line="240" w:lineRule="auto"/>
        <w:jc w:val="center"/>
        <w:rPr>
          <w:rFonts w:ascii="Arial" w:eastAsia="Times New Roman" w:hAnsi="Arial" w:cs="Times New Roman"/>
          <w:b/>
          <w:sz w:val="24"/>
          <w:szCs w:val="20"/>
        </w:rPr>
      </w:pPr>
      <w:r w:rsidRPr="00F15FD4">
        <w:rPr>
          <w:rFonts w:ascii="Arial" w:eastAsia="Times New Roman" w:hAnsi="Arial" w:cs="Times New Roman"/>
          <w:b/>
          <w:sz w:val="24"/>
          <w:szCs w:val="20"/>
        </w:rPr>
        <w:t>WEST CENTRAL FLORIDA RYAN WHITE CARE COUNCIL</w:t>
      </w:r>
    </w:p>
    <w:p w14:paraId="55A65558" w14:textId="77777777" w:rsidR="00916394" w:rsidRPr="00F15FD4" w:rsidRDefault="007E025A" w:rsidP="00916394">
      <w:pPr>
        <w:spacing w:after="0" w:line="240" w:lineRule="auto"/>
        <w:jc w:val="center"/>
        <w:rPr>
          <w:rFonts w:ascii="Arial" w:eastAsia="Times New Roman" w:hAnsi="Arial" w:cs="Times New Roman"/>
          <w:b/>
          <w:sz w:val="24"/>
          <w:szCs w:val="20"/>
        </w:rPr>
      </w:pPr>
      <w:r w:rsidRPr="00F15FD4">
        <w:rPr>
          <w:rFonts w:ascii="Arial" w:eastAsia="Times New Roman" w:hAnsi="Arial" w:cs="Times New Roman"/>
          <w:b/>
          <w:sz w:val="24"/>
          <w:szCs w:val="20"/>
        </w:rPr>
        <w:t>PLANNING AND EVALUATION COMMITTEE</w:t>
      </w:r>
    </w:p>
    <w:p w14:paraId="55A65559" w14:textId="77777777" w:rsidR="007E025A" w:rsidRPr="00F15FD4" w:rsidRDefault="007424EE" w:rsidP="00916394">
      <w:pPr>
        <w:spacing w:after="0" w:line="240" w:lineRule="auto"/>
        <w:jc w:val="center"/>
        <w:rPr>
          <w:rFonts w:ascii="Arial" w:eastAsia="Times New Roman" w:hAnsi="Arial" w:cs="Times New Roman"/>
          <w:b/>
          <w:sz w:val="24"/>
          <w:szCs w:val="20"/>
        </w:rPr>
      </w:pPr>
      <w:r w:rsidRPr="00F15FD4">
        <w:rPr>
          <w:rFonts w:ascii="Arial" w:eastAsia="Times New Roman" w:hAnsi="Arial" w:cs="Times New Roman"/>
          <w:b/>
          <w:sz w:val="24"/>
          <w:szCs w:val="20"/>
        </w:rPr>
        <w:t>SUNCOAST HOSPICE, CLEARWATER</w:t>
      </w:r>
    </w:p>
    <w:p w14:paraId="55A6555A" w14:textId="1DFC3F05" w:rsidR="00916394" w:rsidRPr="00F15FD4" w:rsidRDefault="007E025A" w:rsidP="00916394">
      <w:pPr>
        <w:spacing w:after="0" w:line="240" w:lineRule="auto"/>
        <w:jc w:val="center"/>
        <w:rPr>
          <w:rFonts w:ascii="Arial" w:eastAsia="Times New Roman" w:hAnsi="Arial" w:cs="Times New Roman"/>
          <w:b/>
          <w:sz w:val="24"/>
          <w:szCs w:val="20"/>
        </w:rPr>
      </w:pPr>
      <w:r w:rsidRPr="00F15FD4">
        <w:rPr>
          <w:rFonts w:ascii="Arial" w:eastAsia="Times New Roman" w:hAnsi="Arial" w:cs="Times New Roman"/>
          <w:b/>
          <w:sz w:val="24"/>
          <w:szCs w:val="20"/>
        </w:rPr>
        <w:t xml:space="preserve">THURSDAY, </w:t>
      </w:r>
      <w:r w:rsidR="00D22121" w:rsidRPr="00F15FD4">
        <w:rPr>
          <w:rFonts w:ascii="Arial" w:eastAsia="Times New Roman" w:hAnsi="Arial" w:cs="Times New Roman"/>
          <w:b/>
          <w:sz w:val="24"/>
          <w:szCs w:val="20"/>
        </w:rPr>
        <w:t>JANUARY 9, 2020</w:t>
      </w:r>
    </w:p>
    <w:p w14:paraId="55A6555B" w14:textId="77777777" w:rsidR="00916394" w:rsidRPr="00F15FD4" w:rsidRDefault="005159F7" w:rsidP="00916394">
      <w:pPr>
        <w:spacing w:after="0" w:line="240" w:lineRule="auto"/>
        <w:jc w:val="center"/>
        <w:rPr>
          <w:rFonts w:ascii="Arial" w:eastAsia="Times New Roman" w:hAnsi="Arial" w:cs="Times New Roman"/>
          <w:b/>
          <w:sz w:val="24"/>
          <w:szCs w:val="20"/>
        </w:rPr>
      </w:pPr>
      <w:r w:rsidRPr="00F15FD4">
        <w:rPr>
          <w:rFonts w:ascii="Arial" w:eastAsia="Times New Roman" w:hAnsi="Arial" w:cs="Times New Roman"/>
          <w:b/>
          <w:sz w:val="24"/>
          <w:szCs w:val="20"/>
        </w:rPr>
        <w:t>9:30</w:t>
      </w:r>
      <w:r w:rsidR="007E025A" w:rsidRPr="00F15FD4">
        <w:rPr>
          <w:rFonts w:ascii="Arial" w:eastAsia="Times New Roman" w:hAnsi="Arial" w:cs="Times New Roman"/>
          <w:b/>
          <w:sz w:val="24"/>
          <w:szCs w:val="20"/>
        </w:rPr>
        <w:t xml:space="preserve"> A</w:t>
      </w:r>
      <w:r w:rsidR="00916394" w:rsidRPr="00F15FD4">
        <w:rPr>
          <w:rFonts w:ascii="Arial" w:eastAsia="Times New Roman" w:hAnsi="Arial" w:cs="Times New Roman"/>
          <w:b/>
          <w:sz w:val="24"/>
          <w:szCs w:val="20"/>
        </w:rPr>
        <w:t>.</w:t>
      </w:r>
      <w:r w:rsidRPr="00F15FD4">
        <w:rPr>
          <w:rFonts w:ascii="Arial" w:eastAsia="Times New Roman" w:hAnsi="Arial" w:cs="Times New Roman"/>
          <w:b/>
          <w:sz w:val="24"/>
          <w:szCs w:val="20"/>
        </w:rPr>
        <w:t>M. – 11:0</w:t>
      </w:r>
      <w:r w:rsidR="007E025A" w:rsidRPr="00F15FD4">
        <w:rPr>
          <w:rFonts w:ascii="Arial" w:eastAsia="Times New Roman" w:hAnsi="Arial" w:cs="Times New Roman"/>
          <w:b/>
          <w:sz w:val="24"/>
          <w:szCs w:val="20"/>
        </w:rPr>
        <w:t>0 A</w:t>
      </w:r>
      <w:r w:rsidR="00916394" w:rsidRPr="00F15FD4">
        <w:rPr>
          <w:rFonts w:ascii="Arial" w:eastAsia="Times New Roman" w:hAnsi="Arial" w:cs="Times New Roman"/>
          <w:b/>
          <w:sz w:val="24"/>
          <w:szCs w:val="20"/>
        </w:rPr>
        <w:t>.M.</w:t>
      </w:r>
    </w:p>
    <w:p w14:paraId="55A6555C" w14:textId="77777777" w:rsidR="00D36DC7" w:rsidRPr="00F15FD4" w:rsidRDefault="00D36DC7" w:rsidP="00D36DC7">
      <w:pPr>
        <w:spacing w:after="0" w:line="240" w:lineRule="auto"/>
        <w:jc w:val="center"/>
        <w:rPr>
          <w:rFonts w:ascii="Arial" w:eastAsia="Times New Roman" w:hAnsi="Arial" w:cs="Arial"/>
          <w:b/>
          <w:bCs/>
          <w:sz w:val="24"/>
          <w:szCs w:val="24"/>
        </w:rPr>
      </w:pPr>
    </w:p>
    <w:p w14:paraId="55A6555D" w14:textId="77777777" w:rsidR="00916394" w:rsidRPr="00F15FD4" w:rsidRDefault="00916394" w:rsidP="00D36DC7">
      <w:pPr>
        <w:spacing w:after="0" w:line="240" w:lineRule="auto"/>
        <w:jc w:val="center"/>
        <w:rPr>
          <w:rFonts w:ascii="Arial" w:eastAsia="Times New Roman" w:hAnsi="Arial" w:cs="Arial"/>
          <w:b/>
          <w:bCs/>
          <w:sz w:val="24"/>
          <w:szCs w:val="24"/>
          <w:u w:val="single"/>
        </w:rPr>
      </w:pPr>
      <w:r w:rsidRPr="00F15FD4">
        <w:rPr>
          <w:rFonts w:ascii="Arial" w:eastAsia="Times New Roman" w:hAnsi="Arial" w:cs="Arial"/>
          <w:b/>
          <w:bCs/>
          <w:sz w:val="24"/>
          <w:szCs w:val="24"/>
          <w:u w:val="single"/>
        </w:rPr>
        <w:t>MINUTES</w:t>
      </w:r>
    </w:p>
    <w:p w14:paraId="55A6555E" w14:textId="77777777" w:rsidR="00916394" w:rsidRPr="00F15FD4"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F15FD4" w14:paraId="55A65562" w14:textId="77777777" w:rsidTr="00125F7D">
        <w:trPr>
          <w:trHeight w:val="170"/>
        </w:trPr>
        <w:tc>
          <w:tcPr>
            <w:tcW w:w="3804" w:type="dxa"/>
          </w:tcPr>
          <w:p w14:paraId="55A6555F" w14:textId="77777777" w:rsidR="002D457D" w:rsidRPr="00F15FD4" w:rsidRDefault="002D457D" w:rsidP="00D36DC7">
            <w:pPr>
              <w:rPr>
                <w:rFonts w:ascii="Arial" w:hAnsi="Arial" w:cs="Arial"/>
                <w:b/>
                <w:sz w:val="24"/>
                <w:szCs w:val="24"/>
              </w:rPr>
            </w:pPr>
            <w:r w:rsidRPr="00F15FD4">
              <w:rPr>
                <w:rFonts w:ascii="Arial" w:hAnsi="Arial" w:cs="Arial"/>
                <w:b/>
                <w:color w:val="000000"/>
                <w:sz w:val="24"/>
                <w:szCs w:val="24"/>
              </w:rPr>
              <w:t>CALL TO ORDER</w:t>
            </w:r>
          </w:p>
        </w:tc>
        <w:tc>
          <w:tcPr>
            <w:tcW w:w="6996" w:type="dxa"/>
          </w:tcPr>
          <w:p w14:paraId="337A7E64" w14:textId="3685F6EF" w:rsidR="00C332C0" w:rsidRPr="00F15FD4" w:rsidRDefault="00C332C0" w:rsidP="00C332C0">
            <w:pPr>
              <w:rPr>
                <w:rFonts w:ascii="Arial" w:hAnsi="Arial" w:cs="Arial"/>
                <w:color w:val="000000"/>
                <w:sz w:val="24"/>
                <w:szCs w:val="24"/>
              </w:rPr>
            </w:pPr>
            <w:r w:rsidRPr="00F15FD4">
              <w:rPr>
                <w:rFonts w:ascii="Arial" w:hAnsi="Arial" w:cs="Arial"/>
                <w:color w:val="000000"/>
                <w:sz w:val="24"/>
                <w:szCs w:val="24"/>
              </w:rPr>
              <w:t>The meeting was called to order by Chair, Kirsty Gutierrez, at 9:</w:t>
            </w:r>
            <w:r w:rsidR="00D22121" w:rsidRPr="00F15FD4">
              <w:rPr>
                <w:rFonts w:ascii="Arial" w:hAnsi="Arial" w:cs="Arial"/>
                <w:color w:val="000000"/>
                <w:sz w:val="24"/>
                <w:szCs w:val="24"/>
              </w:rPr>
              <w:t>2</w:t>
            </w:r>
            <w:r w:rsidRPr="00F15FD4">
              <w:rPr>
                <w:rFonts w:ascii="Arial" w:hAnsi="Arial" w:cs="Arial"/>
                <w:color w:val="000000"/>
                <w:sz w:val="24"/>
                <w:szCs w:val="24"/>
              </w:rPr>
              <w:t>9 a.m.</w:t>
            </w:r>
          </w:p>
          <w:p w14:paraId="55A65561" w14:textId="77777777" w:rsidR="002D457D" w:rsidRPr="00F15FD4" w:rsidRDefault="002D457D">
            <w:pPr>
              <w:rPr>
                <w:rFonts w:ascii="Arial" w:hAnsi="Arial" w:cs="Arial"/>
                <w:color w:val="000000"/>
                <w:sz w:val="24"/>
                <w:szCs w:val="24"/>
              </w:rPr>
            </w:pPr>
          </w:p>
        </w:tc>
      </w:tr>
      <w:tr w:rsidR="002D457D" w:rsidRPr="00F15FD4" w14:paraId="55A65570" w14:textId="77777777" w:rsidTr="00125F7D">
        <w:trPr>
          <w:trHeight w:val="170"/>
        </w:trPr>
        <w:tc>
          <w:tcPr>
            <w:tcW w:w="3804" w:type="dxa"/>
          </w:tcPr>
          <w:p w14:paraId="55A65563" w14:textId="77777777" w:rsidR="002D457D" w:rsidRPr="00F15FD4" w:rsidRDefault="002D457D" w:rsidP="00D36DC7">
            <w:pPr>
              <w:rPr>
                <w:rFonts w:ascii="Arial" w:hAnsi="Arial" w:cs="Arial"/>
                <w:b/>
                <w:color w:val="000000"/>
                <w:sz w:val="24"/>
                <w:szCs w:val="24"/>
              </w:rPr>
            </w:pPr>
            <w:r w:rsidRPr="00F15FD4">
              <w:rPr>
                <w:rFonts w:ascii="Arial" w:hAnsi="Arial" w:cs="Arial"/>
                <w:b/>
                <w:color w:val="000000"/>
                <w:sz w:val="24"/>
                <w:szCs w:val="24"/>
              </w:rPr>
              <w:t>ATTENDANCE</w:t>
            </w:r>
          </w:p>
        </w:tc>
        <w:tc>
          <w:tcPr>
            <w:tcW w:w="6996" w:type="dxa"/>
          </w:tcPr>
          <w:p w14:paraId="7EB291A8" w14:textId="5705AA97" w:rsidR="00FC46BF" w:rsidRPr="00F15FD4" w:rsidRDefault="00FC46BF" w:rsidP="00FC46BF">
            <w:pPr>
              <w:rPr>
                <w:rFonts w:ascii="Arial" w:hAnsi="Arial" w:cs="Arial"/>
                <w:color w:val="000000"/>
                <w:sz w:val="24"/>
                <w:szCs w:val="24"/>
              </w:rPr>
            </w:pPr>
            <w:r w:rsidRPr="00F15FD4">
              <w:rPr>
                <w:rFonts w:ascii="Arial" w:hAnsi="Arial" w:cs="Arial"/>
                <w:color w:val="000000"/>
                <w:sz w:val="24"/>
                <w:szCs w:val="24"/>
                <w:u w:val="single"/>
              </w:rPr>
              <w:t>Members Present</w:t>
            </w:r>
            <w:r w:rsidRPr="00F15FD4">
              <w:rPr>
                <w:rFonts w:ascii="Arial" w:hAnsi="Arial" w:cs="Arial"/>
                <w:color w:val="000000"/>
                <w:sz w:val="24"/>
                <w:szCs w:val="24"/>
              </w:rPr>
              <w:t>: Nolan Finn, Elizabeth Rugg, Kirsty Gutierrez</w:t>
            </w:r>
            <w:r w:rsidR="002B612E" w:rsidRPr="00F15FD4">
              <w:rPr>
                <w:rFonts w:ascii="Arial" w:hAnsi="Arial" w:cs="Arial"/>
                <w:color w:val="000000"/>
                <w:sz w:val="24"/>
                <w:szCs w:val="24"/>
              </w:rPr>
              <w:t xml:space="preserve">, </w:t>
            </w:r>
            <w:r w:rsidR="002B612E" w:rsidRPr="00F15FD4">
              <w:rPr>
                <w:rFonts w:ascii="Arial" w:hAnsi="Arial" w:cs="Arial"/>
                <w:color w:val="000000"/>
                <w:sz w:val="24"/>
                <w:szCs w:val="24"/>
              </w:rPr>
              <w:t>Marylin Merida</w:t>
            </w:r>
          </w:p>
          <w:p w14:paraId="238AD058" w14:textId="77777777" w:rsidR="00FC46BF" w:rsidRPr="00F15FD4" w:rsidRDefault="00FC46BF" w:rsidP="00FC46BF">
            <w:pPr>
              <w:rPr>
                <w:rFonts w:ascii="Arial" w:hAnsi="Arial" w:cs="Arial"/>
                <w:color w:val="000000"/>
                <w:sz w:val="24"/>
                <w:szCs w:val="24"/>
                <w:u w:val="single"/>
              </w:rPr>
            </w:pPr>
          </w:p>
          <w:p w14:paraId="1F67929E" w14:textId="292E4DBD" w:rsidR="00FC46BF" w:rsidRPr="00F15FD4" w:rsidRDefault="00FC46BF" w:rsidP="00FC46BF">
            <w:pPr>
              <w:rPr>
                <w:rFonts w:ascii="Arial" w:hAnsi="Arial" w:cs="Arial"/>
                <w:color w:val="000000"/>
                <w:sz w:val="24"/>
                <w:szCs w:val="24"/>
              </w:rPr>
            </w:pPr>
            <w:r w:rsidRPr="00F15FD4">
              <w:rPr>
                <w:rFonts w:ascii="Arial" w:hAnsi="Arial" w:cs="Arial"/>
                <w:color w:val="000000"/>
                <w:sz w:val="24"/>
                <w:szCs w:val="24"/>
                <w:u w:val="single"/>
              </w:rPr>
              <w:t>Members Absent</w:t>
            </w:r>
            <w:r w:rsidRPr="00F15FD4">
              <w:rPr>
                <w:rFonts w:ascii="Arial" w:hAnsi="Arial" w:cs="Arial"/>
                <w:color w:val="000000"/>
                <w:sz w:val="24"/>
                <w:szCs w:val="24"/>
              </w:rPr>
              <w:t xml:space="preserve">: </w:t>
            </w:r>
            <w:r w:rsidR="002B612E" w:rsidRPr="00F15FD4">
              <w:rPr>
                <w:rFonts w:ascii="Arial" w:hAnsi="Arial" w:cs="Arial"/>
                <w:color w:val="000000"/>
                <w:sz w:val="24"/>
                <w:szCs w:val="24"/>
              </w:rPr>
              <w:t xml:space="preserve">Sheryl </w:t>
            </w:r>
            <w:proofErr w:type="spellStart"/>
            <w:r w:rsidR="002B612E" w:rsidRPr="00F15FD4">
              <w:rPr>
                <w:rFonts w:ascii="Arial" w:hAnsi="Arial" w:cs="Arial"/>
                <w:color w:val="000000"/>
                <w:sz w:val="24"/>
                <w:szCs w:val="24"/>
              </w:rPr>
              <w:t>Hoolsema</w:t>
            </w:r>
            <w:proofErr w:type="spellEnd"/>
          </w:p>
          <w:p w14:paraId="6CC36DE5" w14:textId="77777777" w:rsidR="00FC46BF" w:rsidRPr="00F15FD4" w:rsidRDefault="00FC46BF" w:rsidP="00FC46BF">
            <w:pPr>
              <w:rPr>
                <w:rFonts w:ascii="Arial" w:hAnsi="Arial" w:cs="Arial"/>
                <w:color w:val="000000"/>
                <w:sz w:val="24"/>
                <w:szCs w:val="24"/>
                <w:u w:val="single"/>
              </w:rPr>
            </w:pPr>
          </w:p>
          <w:p w14:paraId="205BE12E" w14:textId="5FDF867A" w:rsidR="00FC46BF" w:rsidRPr="00F15FD4" w:rsidRDefault="00FC46BF" w:rsidP="00FC46BF">
            <w:pPr>
              <w:rPr>
                <w:rFonts w:ascii="Arial" w:hAnsi="Arial" w:cs="Arial"/>
                <w:color w:val="000000"/>
                <w:sz w:val="24"/>
                <w:szCs w:val="24"/>
                <w:u w:val="single"/>
              </w:rPr>
            </w:pPr>
            <w:r w:rsidRPr="00F15FD4">
              <w:rPr>
                <w:rFonts w:ascii="Arial" w:hAnsi="Arial" w:cs="Arial"/>
                <w:color w:val="000000"/>
                <w:sz w:val="24"/>
                <w:szCs w:val="24"/>
                <w:u w:val="single"/>
              </w:rPr>
              <w:t>Guests Present</w:t>
            </w:r>
            <w:r w:rsidRPr="00F15FD4">
              <w:rPr>
                <w:rFonts w:ascii="Arial" w:hAnsi="Arial" w:cs="Arial"/>
                <w:color w:val="000000"/>
                <w:sz w:val="24"/>
                <w:szCs w:val="24"/>
              </w:rPr>
              <w:t xml:space="preserve">: </w:t>
            </w:r>
            <w:r w:rsidR="007119E5" w:rsidRPr="00F15FD4">
              <w:rPr>
                <w:rFonts w:ascii="Arial" w:hAnsi="Arial" w:cs="Arial"/>
                <w:color w:val="000000"/>
                <w:sz w:val="24"/>
                <w:szCs w:val="24"/>
              </w:rPr>
              <w:t xml:space="preserve">Peggy Wallace, Alex </w:t>
            </w:r>
            <w:proofErr w:type="spellStart"/>
            <w:r w:rsidR="007119E5" w:rsidRPr="00F15FD4">
              <w:rPr>
                <w:rFonts w:ascii="Arial" w:hAnsi="Arial" w:cs="Arial"/>
                <w:color w:val="000000"/>
                <w:sz w:val="24"/>
                <w:szCs w:val="24"/>
              </w:rPr>
              <w:t>Cario</w:t>
            </w:r>
            <w:proofErr w:type="spellEnd"/>
            <w:r w:rsidR="007119E5" w:rsidRPr="00F15FD4">
              <w:rPr>
                <w:rFonts w:ascii="Arial" w:hAnsi="Arial" w:cs="Arial"/>
                <w:color w:val="000000"/>
                <w:sz w:val="24"/>
                <w:szCs w:val="24"/>
              </w:rPr>
              <w:t>, Allison Rapp</w:t>
            </w:r>
          </w:p>
          <w:p w14:paraId="7FDA6644" w14:textId="77777777" w:rsidR="00FC46BF" w:rsidRPr="00F15FD4" w:rsidRDefault="00FC46BF" w:rsidP="00FC46BF">
            <w:pPr>
              <w:rPr>
                <w:rFonts w:ascii="Arial" w:hAnsi="Arial" w:cs="Arial"/>
                <w:color w:val="000000"/>
                <w:sz w:val="24"/>
                <w:szCs w:val="24"/>
                <w:u w:val="single"/>
              </w:rPr>
            </w:pPr>
          </w:p>
          <w:p w14:paraId="7892469F" w14:textId="77777777" w:rsidR="00FC46BF" w:rsidRPr="00F15FD4" w:rsidRDefault="00FC46BF" w:rsidP="00FC46BF">
            <w:pPr>
              <w:rPr>
                <w:rFonts w:ascii="Arial" w:hAnsi="Arial" w:cs="Arial"/>
                <w:color w:val="000000"/>
                <w:sz w:val="24"/>
                <w:szCs w:val="24"/>
                <w:u w:val="single"/>
              </w:rPr>
            </w:pPr>
            <w:r w:rsidRPr="00F15FD4">
              <w:rPr>
                <w:rFonts w:ascii="Arial" w:hAnsi="Arial" w:cs="Arial"/>
                <w:color w:val="000000"/>
                <w:sz w:val="24"/>
                <w:szCs w:val="24"/>
                <w:u w:val="single"/>
              </w:rPr>
              <w:t>Recipient Staff Present</w:t>
            </w:r>
            <w:r w:rsidRPr="00F15FD4">
              <w:rPr>
                <w:rFonts w:ascii="Arial" w:hAnsi="Arial" w:cs="Arial"/>
                <w:color w:val="000000"/>
                <w:sz w:val="24"/>
                <w:szCs w:val="24"/>
              </w:rPr>
              <w:t>: Aubrey Arnold</w:t>
            </w:r>
          </w:p>
          <w:p w14:paraId="1EAC2EC9" w14:textId="77777777" w:rsidR="00FC46BF" w:rsidRPr="00F15FD4" w:rsidRDefault="00FC46BF" w:rsidP="00FC46BF">
            <w:pPr>
              <w:rPr>
                <w:rFonts w:ascii="Arial" w:hAnsi="Arial" w:cs="Arial"/>
                <w:color w:val="000000"/>
                <w:sz w:val="24"/>
                <w:szCs w:val="24"/>
                <w:u w:val="single"/>
              </w:rPr>
            </w:pPr>
          </w:p>
          <w:p w14:paraId="4E8B9396" w14:textId="1D36CEBD" w:rsidR="00FC46BF" w:rsidRPr="00F15FD4" w:rsidRDefault="00FC46BF" w:rsidP="00FC46BF">
            <w:pPr>
              <w:rPr>
                <w:rFonts w:ascii="Arial" w:hAnsi="Arial" w:cs="Arial"/>
                <w:color w:val="000000"/>
                <w:sz w:val="24"/>
                <w:szCs w:val="24"/>
              </w:rPr>
            </w:pPr>
            <w:r w:rsidRPr="00F15FD4">
              <w:rPr>
                <w:rFonts w:ascii="Arial" w:hAnsi="Arial" w:cs="Arial"/>
                <w:color w:val="000000"/>
                <w:sz w:val="24"/>
                <w:szCs w:val="24"/>
                <w:u w:val="single"/>
              </w:rPr>
              <w:t>Lead Agency Staff Present:</w:t>
            </w:r>
            <w:r w:rsidRPr="00F15FD4">
              <w:rPr>
                <w:rFonts w:ascii="Arial" w:hAnsi="Arial" w:cs="Arial"/>
                <w:color w:val="000000"/>
                <w:sz w:val="24"/>
                <w:szCs w:val="24"/>
              </w:rPr>
              <w:t xml:space="preserve"> None</w:t>
            </w:r>
          </w:p>
          <w:p w14:paraId="5BA9AEAB" w14:textId="77777777" w:rsidR="00FC46BF" w:rsidRPr="00F15FD4" w:rsidRDefault="00FC46BF" w:rsidP="00FC46BF">
            <w:pPr>
              <w:rPr>
                <w:rFonts w:ascii="Arial" w:hAnsi="Arial" w:cs="Arial"/>
                <w:color w:val="000000"/>
                <w:sz w:val="24"/>
                <w:szCs w:val="24"/>
                <w:u w:val="single"/>
              </w:rPr>
            </w:pPr>
          </w:p>
          <w:p w14:paraId="179EB369" w14:textId="77777777" w:rsidR="00FC46BF" w:rsidRPr="00F15FD4" w:rsidRDefault="00FC46BF" w:rsidP="00FC46BF">
            <w:pPr>
              <w:rPr>
                <w:rFonts w:ascii="Arial" w:hAnsi="Arial" w:cs="Arial"/>
                <w:color w:val="000000"/>
                <w:sz w:val="24"/>
                <w:szCs w:val="24"/>
              </w:rPr>
            </w:pPr>
            <w:r w:rsidRPr="00F15FD4">
              <w:rPr>
                <w:rFonts w:ascii="Arial" w:hAnsi="Arial" w:cs="Arial"/>
                <w:color w:val="000000"/>
                <w:sz w:val="24"/>
                <w:szCs w:val="24"/>
                <w:u w:val="single"/>
              </w:rPr>
              <w:t>Health Council Staff Present</w:t>
            </w:r>
            <w:r w:rsidRPr="00F15FD4">
              <w:rPr>
                <w:rFonts w:ascii="Arial" w:hAnsi="Arial" w:cs="Arial"/>
                <w:color w:val="000000"/>
                <w:sz w:val="24"/>
                <w:szCs w:val="24"/>
              </w:rPr>
              <w:t>: Lisa Nugent, Naomi Ardjomand-Kermani</w:t>
            </w:r>
          </w:p>
          <w:p w14:paraId="55A6556F" w14:textId="77777777" w:rsidR="002D457D" w:rsidRPr="00F15FD4" w:rsidRDefault="002D457D">
            <w:pPr>
              <w:rPr>
                <w:rFonts w:ascii="Arial" w:hAnsi="Arial" w:cs="Arial"/>
                <w:color w:val="000000"/>
                <w:sz w:val="24"/>
                <w:szCs w:val="24"/>
              </w:rPr>
            </w:pPr>
          </w:p>
        </w:tc>
      </w:tr>
      <w:tr w:rsidR="00D36DC7" w:rsidRPr="00F15FD4" w14:paraId="55A65574" w14:textId="77777777" w:rsidTr="00125F7D">
        <w:trPr>
          <w:trHeight w:val="351"/>
        </w:trPr>
        <w:tc>
          <w:tcPr>
            <w:tcW w:w="3804" w:type="dxa"/>
          </w:tcPr>
          <w:p w14:paraId="55A65571" w14:textId="77777777" w:rsidR="00D36DC7" w:rsidRPr="00F15FD4" w:rsidRDefault="00D36DC7" w:rsidP="00D36DC7">
            <w:pPr>
              <w:rPr>
                <w:rFonts w:ascii="Arial" w:hAnsi="Arial" w:cs="Arial"/>
                <w:b/>
                <w:color w:val="000000"/>
                <w:sz w:val="24"/>
                <w:szCs w:val="24"/>
              </w:rPr>
            </w:pPr>
            <w:r w:rsidRPr="00F15FD4">
              <w:rPr>
                <w:rFonts w:ascii="Arial" w:hAnsi="Arial" w:cs="Arial"/>
                <w:b/>
                <w:color w:val="000000"/>
                <w:sz w:val="24"/>
              </w:rPr>
              <w:t>CHANGES TO AGENDA</w:t>
            </w:r>
          </w:p>
        </w:tc>
        <w:tc>
          <w:tcPr>
            <w:tcW w:w="6996" w:type="dxa"/>
          </w:tcPr>
          <w:p w14:paraId="55A65572" w14:textId="1DD553DD" w:rsidR="006C55A1" w:rsidRPr="00F15FD4" w:rsidRDefault="00FF7B83" w:rsidP="001D1526">
            <w:pPr>
              <w:rPr>
                <w:rFonts w:ascii="Arial" w:hAnsi="Arial" w:cs="Arial"/>
                <w:color w:val="000000"/>
                <w:sz w:val="24"/>
                <w:szCs w:val="24"/>
              </w:rPr>
            </w:pPr>
            <w:r w:rsidRPr="00F15FD4">
              <w:rPr>
                <w:rFonts w:ascii="Arial" w:hAnsi="Arial" w:cs="Arial"/>
                <w:color w:val="000000"/>
                <w:sz w:val="24"/>
                <w:szCs w:val="24"/>
              </w:rPr>
              <w:t>P&amp;E member and Health Services Advisory Committee</w:t>
            </w:r>
            <w:r w:rsidR="00AE10CB" w:rsidRPr="00F15FD4">
              <w:rPr>
                <w:rFonts w:ascii="Arial" w:hAnsi="Arial" w:cs="Arial"/>
                <w:color w:val="000000"/>
                <w:sz w:val="24"/>
                <w:szCs w:val="24"/>
              </w:rPr>
              <w:t xml:space="preserve"> (HSAC)</w:t>
            </w:r>
            <w:r w:rsidRPr="00F15FD4">
              <w:rPr>
                <w:rFonts w:ascii="Arial" w:hAnsi="Arial" w:cs="Arial"/>
                <w:color w:val="000000"/>
                <w:sz w:val="24"/>
                <w:szCs w:val="24"/>
              </w:rPr>
              <w:t xml:space="preserve"> Chair, Elizabeth Rugg, </w:t>
            </w:r>
            <w:r w:rsidR="00AE10CB" w:rsidRPr="00F15FD4">
              <w:rPr>
                <w:rFonts w:ascii="Arial" w:hAnsi="Arial" w:cs="Arial"/>
                <w:color w:val="000000"/>
                <w:sz w:val="24"/>
                <w:szCs w:val="24"/>
              </w:rPr>
              <w:t>requested that a discussion regarding HSAC’s recommendation of adding Narcan (Naloxone) to the for</w:t>
            </w:r>
            <w:r w:rsidR="004260E6" w:rsidRPr="00F15FD4">
              <w:rPr>
                <w:rFonts w:ascii="Arial" w:hAnsi="Arial" w:cs="Arial"/>
                <w:color w:val="000000"/>
                <w:sz w:val="24"/>
                <w:szCs w:val="24"/>
              </w:rPr>
              <w:t>mulary be added to the agenda for P&amp;E approval.</w:t>
            </w:r>
          </w:p>
          <w:p w14:paraId="55A65573" w14:textId="77777777" w:rsidR="001D1526" w:rsidRPr="00F15FD4" w:rsidRDefault="001D1526" w:rsidP="001D1526">
            <w:pPr>
              <w:rPr>
                <w:rFonts w:ascii="Arial" w:hAnsi="Arial" w:cs="Arial"/>
                <w:color w:val="000000"/>
                <w:sz w:val="24"/>
                <w:szCs w:val="24"/>
              </w:rPr>
            </w:pPr>
          </w:p>
        </w:tc>
      </w:tr>
      <w:tr w:rsidR="00D36DC7" w:rsidRPr="00A956B6" w14:paraId="55A65578" w14:textId="77777777" w:rsidTr="00125F7D">
        <w:trPr>
          <w:trHeight w:val="351"/>
        </w:trPr>
        <w:tc>
          <w:tcPr>
            <w:tcW w:w="3804" w:type="dxa"/>
          </w:tcPr>
          <w:p w14:paraId="55A65575" w14:textId="77777777" w:rsidR="00D36DC7" w:rsidRPr="00F15FD4" w:rsidRDefault="00D36DC7" w:rsidP="00D36DC7">
            <w:pPr>
              <w:rPr>
                <w:rFonts w:ascii="Arial" w:hAnsi="Arial" w:cs="Arial"/>
                <w:b/>
                <w:color w:val="000000"/>
                <w:sz w:val="24"/>
              </w:rPr>
            </w:pPr>
            <w:r w:rsidRPr="00F15FD4">
              <w:rPr>
                <w:rFonts w:ascii="Arial" w:hAnsi="Arial" w:cs="Arial"/>
                <w:b/>
                <w:color w:val="000000"/>
                <w:sz w:val="24"/>
              </w:rPr>
              <w:t>ADOPTION OF MINUTES</w:t>
            </w:r>
          </w:p>
        </w:tc>
        <w:tc>
          <w:tcPr>
            <w:tcW w:w="6996" w:type="dxa"/>
          </w:tcPr>
          <w:p w14:paraId="6E9833F7" w14:textId="4977FE4D" w:rsidR="00165661" w:rsidRPr="00F15FD4" w:rsidRDefault="00165661" w:rsidP="00165661">
            <w:pPr>
              <w:rPr>
                <w:rFonts w:ascii="Arial" w:hAnsi="Arial" w:cs="Arial"/>
                <w:b/>
                <w:color w:val="000000"/>
                <w:sz w:val="24"/>
                <w:szCs w:val="24"/>
              </w:rPr>
            </w:pPr>
            <w:r w:rsidRPr="00F15FD4">
              <w:rPr>
                <w:rFonts w:ascii="Arial" w:hAnsi="Arial" w:cs="Arial"/>
                <w:b/>
                <w:color w:val="000000"/>
                <w:sz w:val="24"/>
                <w:szCs w:val="24"/>
              </w:rPr>
              <w:t xml:space="preserve">The minutes for </w:t>
            </w:r>
            <w:r w:rsidR="00766BC2" w:rsidRPr="00F15FD4">
              <w:rPr>
                <w:rFonts w:ascii="Arial" w:hAnsi="Arial" w:cs="Arial"/>
                <w:b/>
                <w:color w:val="000000"/>
                <w:sz w:val="24"/>
                <w:szCs w:val="24"/>
              </w:rPr>
              <w:t>December 12</w:t>
            </w:r>
            <w:r w:rsidRPr="00F15FD4">
              <w:rPr>
                <w:rFonts w:ascii="Arial" w:hAnsi="Arial" w:cs="Arial"/>
                <w:b/>
                <w:color w:val="000000"/>
                <w:sz w:val="24"/>
                <w:szCs w:val="24"/>
              </w:rPr>
              <w:t xml:space="preserve">, 2019 were approved by acclamation (M: </w:t>
            </w:r>
            <w:r w:rsidR="00766BC2" w:rsidRPr="00F15FD4">
              <w:rPr>
                <w:rFonts w:ascii="Arial" w:hAnsi="Arial" w:cs="Arial"/>
                <w:b/>
                <w:color w:val="000000"/>
                <w:sz w:val="24"/>
                <w:szCs w:val="24"/>
              </w:rPr>
              <w:t>Finn</w:t>
            </w:r>
            <w:r w:rsidRPr="00F15FD4">
              <w:rPr>
                <w:rFonts w:ascii="Arial" w:hAnsi="Arial" w:cs="Arial"/>
                <w:b/>
                <w:color w:val="000000"/>
                <w:sz w:val="24"/>
                <w:szCs w:val="24"/>
              </w:rPr>
              <w:t xml:space="preserve">; S: </w:t>
            </w:r>
            <w:r w:rsidR="00766BC2" w:rsidRPr="00F15FD4">
              <w:rPr>
                <w:rFonts w:ascii="Arial" w:hAnsi="Arial" w:cs="Arial"/>
                <w:b/>
                <w:color w:val="000000"/>
                <w:sz w:val="24"/>
                <w:szCs w:val="24"/>
              </w:rPr>
              <w:t>Rugg</w:t>
            </w:r>
            <w:r w:rsidRPr="00F15FD4">
              <w:rPr>
                <w:rFonts w:ascii="Arial" w:hAnsi="Arial" w:cs="Arial"/>
                <w:b/>
                <w:color w:val="000000"/>
                <w:sz w:val="24"/>
                <w:szCs w:val="24"/>
              </w:rPr>
              <w:t>).</w:t>
            </w:r>
          </w:p>
          <w:p w14:paraId="55A65577" w14:textId="77777777" w:rsidR="008E2DA0" w:rsidRPr="00F15FD4" w:rsidRDefault="008E2DA0" w:rsidP="00766BC2">
            <w:pPr>
              <w:rPr>
                <w:rFonts w:ascii="Arial" w:hAnsi="Arial" w:cs="Arial"/>
                <w:b/>
                <w:color w:val="000000"/>
                <w:sz w:val="24"/>
                <w:szCs w:val="24"/>
              </w:rPr>
            </w:pPr>
          </w:p>
        </w:tc>
      </w:tr>
      <w:tr w:rsidR="00C81BF7" w:rsidRPr="00A956B6" w14:paraId="669FE12E" w14:textId="77777777" w:rsidTr="00125F7D">
        <w:trPr>
          <w:trHeight w:val="351"/>
        </w:trPr>
        <w:tc>
          <w:tcPr>
            <w:tcW w:w="3804" w:type="dxa"/>
          </w:tcPr>
          <w:p w14:paraId="0E01BC96" w14:textId="3B77B5A5" w:rsidR="00C81BF7" w:rsidRPr="00E92C55" w:rsidRDefault="00C81BF7" w:rsidP="00C81BF7">
            <w:pPr>
              <w:rPr>
                <w:rFonts w:ascii="Arial" w:hAnsi="Arial" w:cs="Arial"/>
                <w:b/>
                <w:color w:val="000000"/>
                <w:sz w:val="24"/>
              </w:rPr>
            </w:pPr>
            <w:r w:rsidRPr="00E92C55">
              <w:rPr>
                <w:rFonts w:ascii="Arial" w:hAnsi="Arial" w:cs="Arial"/>
                <w:b/>
                <w:color w:val="000000"/>
                <w:sz w:val="24"/>
              </w:rPr>
              <w:t xml:space="preserve">SERVICE PRIORITIES </w:t>
            </w:r>
            <w:r w:rsidR="00757831" w:rsidRPr="00E92C55">
              <w:rPr>
                <w:rFonts w:ascii="Arial" w:hAnsi="Arial" w:cs="Arial"/>
                <w:b/>
                <w:color w:val="000000"/>
                <w:sz w:val="24"/>
              </w:rPr>
              <w:t>DISCUSSION</w:t>
            </w:r>
          </w:p>
          <w:p w14:paraId="64A1B0EE" w14:textId="77777777" w:rsidR="00C81BF7" w:rsidRPr="00A956B6" w:rsidRDefault="00C81BF7" w:rsidP="00C81BF7">
            <w:pPr>
              <w:rPr>
                <w:rFonts w:ascii="Arial" w:hAnsi="Arial" w:cs="Arial"/>
                <w:b/>
                <w:color w:val="000000"/>
                <w:sz w:val="24"/>
                <w:highlight w:val="yellow"/>
              </w:rPr>
            </w:pPr>
          </w:p>
        </w:tc>
        <w:tc>
          <w:tcPr>
            <w:tcW w:w="6996" w:type="dxa"/>
          </w:tcPr>
          <w:p w14:paraId="02C0ACF1" w14:textId="1F406D38" w:rsidR="00C81BF7" w:rsidRDefault="00C81BF7" w:rsidP="00C81BF7">
            <w:pPr>
              <w:pStyle w:val="BodyText2"/>
              <w:jc w:val="both"/>
            </w:pPr>
            <w:r w:rsidRPr="00665D12">
              <w:t xml:space="preserve">Staff, Naomi Ardjomand-Kermani, informed committee members that the State has </w:t>
            </w:r>
            <w:r w:rsidR="00EF2040" w:rsidRPr="00665D12">
              <w:t>still not</w:t>
            </w:r>
            <w:r w:rsidRPr="00665D12">
              <w:t xml:space="preserve"> released the area’s final needs assessment data analysis, but the area’s current service priorities mirror that of the State’s</w:t>
            </w:r>
            <w:r w:rsidR="000002DC" w:rsidRPr="00665D12">
              <w:t xml:space="preserve"> raw analysis</w:t>
            </w:r>
            <w:r w:rsidRPr="00665D12">
              <w:t xml:space="preserve">. </w:t>
            </w:r>
            <w:r w:rsidR="00BB2949">
              <w:t xml:space="preserve">As a result, </w:t>
            </w:r>
            <w:r w:rsidRPr="00665D12">
              <w:t>the Committee decided t</w:t>
            </w:r>
            <w:r w:rsidR="00665D12" w:rsidRPr="00665D12">
              <w:t>o keep the area’s current service priorities</w:t>
            </w:r>
            <w:r w:rsidR="00BB2949">
              <w:t>,</w:t>
            </w:r>
            <w:r w:rsidR="00665D12" w:rsidRPr="00665D12">
              <w:t xml:space="preserve"> as voted</w:t>
            </w:r>
            <w:r w:rsidR="00BB2949">
              <w:t xml:space="preserve"> on</w:t>
            </w:r>
            <w:r w:rsidR="00665D12" w:rsidRPr="00665D12">
              <w:t xml:space="preserve"> at the Committee’s December 12, 2019 meeting.</w:t>
            </w:r>
            <w:r w:rsidRPr="00665D12">
              <w:t xml:space="preserve"> </w:t>
            </w:r>
            <w:r w:rsidR="00BB2949">
              <w:t xml:space="preserve">These </w:t>
            </w:r>
            <w:r w:rsidR="00C74E74">
              <w:t>Service Priorities will be forwarded on to the Care Council, for approval, at the February 5, 2020 meeting.</w:t>
            </w:r>
          </w:p>
          <w:p w14:paraId="072387B7" w14:textId="77777777" w:rsidR="00DA5512" w:rsidRDefault="005B181C" w:rsidP="00C81BF7">
            <w:pPr>
              <w:pStyle w:val="BodyText2"/>
              <w:jc w:val="both"/>
            </w:pPr>
            <w:r>
              <w:lastRenderedPageBreak/>
              <w:t xml:space="preserve">Members continued their previous discussion, from December, regarding the </w:t>
            </w:r>
            <w:r w:rsidR="00757EBE">
              <w:t>ambiguity of the housing-related questions on the state needs assessment</w:t>
            </w:r>
            <w:r w:rsidR="000F3395">
              <w:t xml:space="preserve">. Although housing is brought up again and again at Care Council meetings, the State’s data does not show housing as a priority need among people living with HIV in the </w:t>
            </w:r>
            <w:r w:rsidR="00C502E4">
              <w:t>area. Recipient, Aubrey Arnold, recalled past needs assessments that were conducted locally and suggested that the Committee consider this route going forward.</w:t>
            </w:r>
            <w:r w:rsidR="00D54127">
              <w:t xml:space="preserve"> Member, Nolan Finn, told members that Housing was a point of heated discussion at the Pinellas </w:t>
            </w:r>
            <w:r w:rsidR="00D54127">
              <w:rPr>
                <w:i/>
                <w:iCs/>
              </w:rPr>
              <w:t>Ending the HIV Epidemic</w:t>
            </w:r>
            <w:r w:rsidR="00793EB9">
              <w:t xml:space="preserve"> kick-off meeting, in December. He plans to share slides from this planning session with members for review.</w:t>
            </w:r>
            <w:r w:rsidR="006F6A48">
              <w:t xml:space="preserve"> </w:t>
            </w:r>
          </w:p>
          <w:p w14:paraId="05AAB1DF" w14:textId="2BEBA455" w:rsidR="005B181C" w:rsidRDefault="006F6A48" w:rsidP="00C81BF7">
            <w:pPr>
              <w:pStyle w:val="BodyText2"/>
              <w:jc w:val="both"/>
            </w:pPr>
            <w:r>
              <w:t xml:space="preserve">Guest, Allison Rapp, added that Hillsborough’s </w:t>
            </w:r>
            <w:r>
              <w:rPr>
                <w:i/>
                <w:iCs/>
              </w:rPr>
              <w:t>Ending the HIV Epidemic</w:t>
            </w:r>
            <w:r>
              <w:t xml:space="preserve"> </w:t>
            </w:r>
            <w:r w:rsidR="001701EC">
              <w:t>(</w:t>
            </w:r>
            <w:proofErr w:type="spellStart"/>
            <w:r w:rsidR="001701EC">
              <w:t>EtHE</w:t>
            </w:r>
            <w:proofErr w:type="spellEnd"/>
            <w:r w:rsidR="001701EC">
              <w:t xml:space="preserve">) </w:t>
            </w:r>
            <w:r w:rsidR="008A0A7C">
              <w:t>plan has included housing</w:t>
            </w:r>
            <w:r w:rsidR="00E3014C">
              <w:t>, transportation, substance misuse</w:t>
            </w:r>
            <w:r w:rsidR="00DE45C1">
              <w:t>, mental health, and health education and risk reduction (HERR)</w:t>
            </w:r>
            <w:r w:rsidR="008A0A7C">
              <w:t xml:space="preserve"> a</w:t>
            </w:r>
            <w:r w:rsidR="00DE45C1">
              <w:t xml:space="preserve">s </w:t>
            </w:r>
            <w:r w:rsidR="008A0A7C">
              <w:t>priority need</w:t>
            </w:r>
            <w:r w:rsidR="00DE45C1">
              <w:t>s.</w:t>
            </w:r>
            <w:r w:rsidR="002011F0">
              <w:t xml:space="preserve"> </w:t>
            </w:r>
            <w:r w:rsidR="00DA5512">
              <w:t>Arnold added that t</w:t>
            </w:r>
            <w:r w:rsidR="002011F0">
              <w:t>his funding stream will be entirely separate from Housing Opportunities for People with AIDS (HOWPA)</w:t>
            </w:r>
            <w:r w:rsidR="001108DE">
              <w:t xml:space="preserve"> and funding for housing will be put out for bid for community-based organizations (CBO)</w:t>
            </w:r>
            <w:r w:rsidR="008C69B0">
              <w:t xml:space="preserve"> to provide short-term, transitional, housing for the housing insecure.</w:t>
            </w:r>
            <w:r w:rsidR="006663A8">
              <w:t xml:space="preserve"> This will allow for more accessible funding for </w:t>
            </w:r>
            <w:r w:rsidR="00A03CEC">
              <w:t>housing but</w:t>
            </w:r>
            <w:r w:rsidR="006663A8">
              <w:t xml:space="preserve"> will still require buy-in from landlords</w:t>
            </w:r>
            <w:r w:rsidR="00A03CEC">
              <w:t xml:space="preserve">. Rapp added that the </w:t>
            </w:r>
            <w:r w:rsidR="00A03CEC" w:rsidRPr="00A03CEC">
              <w:t>Tampa Hillsborough Homeless Initiative</w:t>
            </w:r>
            <w:r w:rsidR="00A03CEC">
              <w:t xml:space="preserve"> (THHI) is in the process of assessing the county’s needs.</w:t>
            </w:r>
            <w:r w:rsidR="001701EC">
              <w:t xml:space="preserve"> The next (</w:t>
            </w:r>
            <w:proofErr w:type="spellStart"/>
            <w:r w:rsidR="001701EC">
              <w:t>EtHE</w:t>
            </w:r>
            <w:proofErr w:type="spellEnd"/>
            <w:r w:rsidR="001701EC">
              <w:t>) meetings will be held in March 2020</w:t>
            </w:r>
            <w:r w:rsidR="00D262ED">
              <w:t xml:space="preserve"> and Arnold requested that members attend and bring back information and </w:t>
            </w:r>
            <w:r w:rsidR="00F64030">
              <w:t xml:space="preserve">thoughts to subsequent Care Council meetings for discussion. Arnold reminded members that the Council is not required nor involved in this process of </w:t>
            </w:r>
            <w:r w:rsidR="0041491D">
              <w:t>determinations but</w:t>
            </w:r>
            <w:r w:rsidR="00F64030">
              <w:t xml:space="preserve"> are welcome to discuss</w:t>
            </w:r>
            <w:r w:rsidR="0041491D">
              <w:t xml:space="preserve"> and offer suggestions.</w:t>
            </w:r>
          </w:p>
          <w:p w14:paraId="00890C1B" w14:textId="77777777" w:rsidR="00C81BF7" w:rsidRDefault="0041491D" w:rsidP="00C96DED">
            <w:pPr>
              <w:pStyle w:val="BodyText2"/>
              <w:jc w:val="both"/>
            </w:pPr>
            <w:r>
              <w:t xml:space="preserve">Member, Marylin Merida, asked Arnold if this </w:t>
            </w:r>
            <w:r w:rsidR="00F75F39">
              <w:t>housing funding would be extended to those who have been recently incarcerated as they have many barriers to access housing assistance.</w:t>
            </w:r>
            <w:r w:rsidR="00683824">
              <w:t xml:space="preserve"> Issues include lack of credit, stigma, and limited personal funds.</w:t>
            </w:r>
            <w:r w:rsidR="00DC6BFB">
              <w:t xml:space="preserve"> Arnold confirmed that these populations are included in the funding plan</w:t>
            </w:r>
            <w:r w:rsidR="00C96DED">
              <w:t>.</w:t>
            </w:r>
          </w:p>
          <w:p w14:paraId="2A0D987E" w14:textId="1F7C59AD" w:rsidR="00C96DED" w:rsidRPr="00A956B6" w:rsidRDefault="00C96DED" w:rsidP="00C96DED">
            <w:pPr>
              <w:pStyle w:val="BodyText2"/>
              <w:jc w:val="both"/>
              <w:rPr>
                <w:rFonts w:cs="Arial"/>
                <w:b/>
                <w:color w:val="000000"/>
                <w:szCs w:val="24"/>
                <w:highlight w:val="yellow"/>
              </w:rPr>
            </w:pPr>
          </w:p>
        </w:tc>
      </w:tr>
      <w:tr w:rsidR="00BE67AD" w:rsidRPr="00A956B6" w14:paraId="490BFD61" w14:textId="77777777" w:rsidTr="00125F7D">
        <w:trPr>
          <w:trHeight w:val="351"/>
        </w:trPr>
        <w:tc>
          <w:tcPr>
            <w:tcW w:w="3804" w:type="dxa"/>
          </w:tcPr>
          <w:p w14:paraId="40798AF8" w14:textId="77777777" w:rsidR="00BE67AD" w:rsidRPr="00E92C55" w:rsidRDefault="00BE67AD" w:rsidP="00D63E38">
            <w:pPr>
              <w:rPr>
                <w:rFonts w:ascii="Arial" w:hAnsi="Arial" w:cs="Arial"/>
                <w:b/>
                <w:color w:val="000000"/>
                <w:sz w:val="24"/>
              </w:rPr>
            </w:pPr>
            <w:r w:rsidRPr="00E92C55">
              <w:rPr>
                <w:rFonts w:ascii="Arial" w:hAnsi="Arial" w:cs="Arial"/>
                <w:b/>
                <w:color w:val="000000"/>
                <w:sz w:val="24"/>
              </w:rPr>
              <w:lastRenderedPageBreak/>
              <w:t>RYAN WHITE FORMULARY ADDITION: NARCAN (NALOXONE)</w:t>
            </w:r>
          </w:p>
          <w:p w14:paraId="733F2884" w14:textId="5E2B5C1C" w:rsidR="00BE67AD" w:rsidRPr="00E92C55" w:rsidRDefault="00BE67AD" w:rsidP="00D63E38">
            <w:pPr>
              <w:rPr>
                <w:rFonts w:ascii="Arial" w:hAnsi="Arial" w:cs="Arial"/>
                <w:b/>
                <w:color w:val="000000"/>
                <w:sz w:val="24"/>
              </w:rPr>
            </w:pPr>
          </w:p>
        </w:tc>
        <w:tc>
          <w:tcPr>
            <w:tcW w:w="6996" w:type="dxa"/>
          </w:tcPr>
          <w:p w14:paraId="08E96C1F" w14:textId="77777777" w:rsidR="00BE67AD" w:rsidRPr="0045757E" w:rsidRDefault="006232AE" w:rsidP="00C81BF7">
            <w:pPr>
              <w:pStyle w:val="BodyText2"/>
              <w:jc w:val="both"/>
            </w:pPr>
            <w:r w:rsidRPr="0045757E">
              <w:t xml:space="preserve">Staff, Naomi Ardjomand-Kermani, and HSAC Chair, Elizabeth Rugg, informed P&amp;E members of the </w:t>
            </w:r>
            <w:r w:rsidR="009D0A36" w:rsidRPr="0045757E">
              <w:t xml:space="preserve">discussion </w:t>
            </w:r>
            <w:r w:rsidR="00930B5C" w:rsidRPr="0045757E">
              <w:t>held by HSAC</w:t>
            </w:r>
            <w:r w:rsidR="00864252" w:rsidRPr="0045757E">
              <w:t>,</w:t>
            </w:r>
            <w:r w:rsidR="00930B5C" w:rsidRPr="0045757E">
              <w:t xml:space="preserve"> </w:t>
            </w:r>
            <w:r w:rsidR="00864252" w:rsidRPr="0045757E">
              <w:t xml:space="preserve">followed by a </w:t>
            </w:r>
            <w:r w:rsidR="00930B5C" w:rsidRPr="0045757E">
              <w:t xml:space="preserve">roll-call vote to forward a formulary </w:t>
            </w:r>
            <w:r w:rsidRPr="0045757E">
              <w:t xml:space="preserve">recommendation </w:t>
            </w:r>
            <w:r w:rsidR="00864252" w:rsidRPr="0045757E">
              <w:t xml:space="preserve">to P&amp;E for consideration. </w:t>
            </w:r>
            <w:r w:rsidR="00A90102" w:rsidRPr="0045757E">
              <w:t xml:space="preserve"> Members recommended that Narcan (Naloxone) be added to Ryan White’s open formulary to remove caps and limits placed on </w:t>
            </w:r>
            <w:r w:rsidR="00E87D5B" w:rsidRPr="0045757E">
              <w:t>prescription reimbursement for the life-saving drug, Narcan.</w:t>
            </w:r>
            <w:r w:rsidR="002E7A9E" w:rsidRPr="0045757E">
              <w:t xml:space="preserve"> At this time, clients are limited to one (1) prescription of Narcan per year, which was determined to be unacceptable by HSAC members.</w:t>
            </w:r>
            <w:r w:rsidR="00C70016" w:rsidRPr="0045757E">
              <w:t xml:space="preserve"> P&amp;E members were asked to consider this addition to the open formulary.</w:t>
            </w:r>
          </w:p>
          <w:p w14:paraId="7AF9D7BF" w14:textId="77777777" w:rsidR="00692B3B" w:rsidRPr="0045757E" w:rsidRDefault="00C70016" w:rsidP="00C81BF7">
            <w:pPr>
              <w:pStyle w:val="BodyText2"/>
              <w:jc w:val="both"/>
            </w:pPr>
            <w:r w:rsidRPr="0045757E">
              <w:t xml:space="preserve">P&amp;E Chair, Kirsty Gutierrez, </w:t>
            </w:r>
            <w:r w:rsidR="00A23C24" w:rsidRPr="0045757E">
              <w:t xml:space="preserve">asked what cost would be incurred </w:t>
            </w:r>
            <w:r w:rsidR="00A23C24" w:rsidRPr="0045757E">
              <w:lastRenderedPageBreak/>
              <w:t>by the Ryan White program and Rugg responded</w:t>
            </w:r>
            <w:r w:rsidR="00936471" w:rsidRPr="0045757E">
              <w:t xml:space="preserve"> that this information was not made available to them, but feels that this decision must not be delayed. Demand for Narcan is low at this time</w:t>
            </w:r>
            <w:r w:rsidR="00124323" w:rsidRPr="0045757E">
              <w:t xml:space="preserve"> and Arnold added that only three (3) requests have been made over the last two (2) years.</w:t>
            </w:r>
            <w:r w:rsidR="0016748C" w:rsidRPr="0045757E">
              <w:t xml:space="preserve"> Some members expressed concern that this would undermine Ryan White as the payor of last resort as Narcan is available at many other CBOs for free.</w:t>
            </w:r>
            <w:r w:rsidR="009D3EBE" w:rsidRPr="0045757E">
              <w:t xml:space="preserve"> Gutierrez agreed and added that Metro Inclusive Health has received few requests for the drug thus far, despite </w:t>
            </w:r>
            <w:r w:rsidR="00D05D6C" w:rsidRPr="0045757E">
              <w:t>being offered free of cost. Rugg informed members that the Insurance Services Program (ISP)</w:t>
            </w:r>
            <w:r w:rsidR="006E68CE" w:rsidRPr="0045757E">
              <w:t xml:space="preserve"> supports many clients who are prescribed opioids, thus should be available free of stigma.</w:t>
            </w:r>
            <w:r w:rsidR="004D5769" w:rsidRPr="0045757E">
              <w:t xml:space="preserve"> </w:t>
            </w:r>
          </w:p>
          <w:p w14:paraId="7390AFCA" w14:textId="77777777" w:rsidR="00C70016" w:rsidRPr="0045757E" w:rsidRDefault="004D5769" w:rsidP="00C81BF7">
            <w:pPr>
              <w:pStyle w:val="BodyText2"/>
              <w:jc w:val="both"/>
            </w:pPr>
            <w:r w:rsidRPr="0045757E">
              <w:t>Member</w:t>
            </w:r>
            <w:r w:rsidR="00692B3B" w:rsidRPr="0045757E">
              <w:t xml:space="preserve"> and Care Council Chair</w:t>
            </w:r>
            <w:r w:rsidRPr="0045757E">
              <w:t>, Nolan Finn, asked members if offering Narcan would essentially grant people who misuse opioids</w:t>
            </w:r>
            <w:r w:rsidR="00025313" w:rsidRPr="0045757E">
              <w:t xml:space="preserve"> permission to continue using drugs and resultingly contributing to the current rates of opioid misuse.</w:t>
            </w:r>
            <w:r w:rsidR="00692B3B" w:rsidRPr="0045757E">
              <w:t xml:space="preserve"> Rugg offered that </w:t>
            </w:r>
            <w:r w:rsidR="00753B22" w:rsidRPr="0045757E">
              <w:t>mental health should be paired and offered to those who requested Narcan on a regular basis.</w:t>
            </w:r>
            <w:r w:rsidR="00F6771E" w:rsidRPr="0045757E">
              <w:t xml:space="preserve"> Merida agreed that mental health service availability should be the next step and Arnold considered if prescribing systems should flag all those prescribed</w:t>
            </w:r>
            <w:r w:rsidR="00D82B5E" w:rsidRPr="0045757E">
              <w:t xml:space="preserve"> in the system. Members argued that this argument could just as easily be </w:t>
            </w:r>
            <w:r w:rsidR="00F61452" w:rsidRPr="0045757E">
              <w:t xml:space="preserve">attached to the </w:t>
            </w:r>
            <w:r w:rsidR="00D82B5E" w:rsidRPr="0045757E">
              <w:t>prescription of Pre-Exposure Prophylaxis (</w:t>
            </w:r>
            <w:proofErr w:type="spellStart"/>
            <w:r w:rsidR="00D82B5E" w:rsidRPr="0045757E">
              <w:t>PrEP</w:t>
            </w:r>
            <w:proofErr w:type="spellEnd"/>
            <w:r w:rsidR="00D82B5E" w:rsidRPr="0045757E">
              <w:t>)</w:t>
            </w:r>
            <w:r w:rsidR="00F61452" w:rsidRPr="0045757E">
              <w:t xml:space="preserve">. </w:t>
            </w:r>
            <w:proofErr w:type="spellStart"/>
            <w:r w:rsidR="00F61452" w:rsidRPr="0045757E">
              <w:t>ie</w:t>
            </w:r>
            <w:proofErr w:type="spellEnd"/>
            <w:r w:rsidR="00F61452" w:rsidRPr="0045757E">
              <w:t xml:space="preserve">) is </w:t>
            </w:r>
            <w:proofErr w:type="spellStart"/>
            <w:r w:rsidR="00F61452" w:rsidRPr="0045757E">
              <w:t>PrEP</w:t>
            </w:r>
            <w:proofErr w:type="spellEnd"/>
            <w:r w:rsidR="00F61452" w:rsidRPr="0045757E">
              <w:t xml:space="preserve"> giving permission to those prescribed</w:t>
            </w:r>
            <w:r w:rsidR="00F44457" w:rsidRPr="0045757E">
              <w:t xml:space="preserve"> to engage in sex without barriers? This idea only </w:t>
            </w:r>
            <w:r w:rsidR="000B761D" w:rsidRPr="0045757E">
              <w:t xml:space="preserve">adds to the stigma associated with these drugs and should not be a barrier to accessing mechanisms for risk reduction. </w:t>
            </w:r>
            <w:r w:rsidR="00EC51BF" w:rsidRPr="0045757E">
              <w:t xml:space="preserve"> Finn and Rapp asked if there would be a way to flag those prescribed and if rules for fills would be applied. Suncoast Health Council staff, Lisa Nugent, argued that </w:t>
            </w:r>
            <w:r w:rsidR="001F1FD1" w:rsidRPr="0045757E">
              <w:t>not everyone prescribed Narcan is misusing opioids</w:t>
            </w:r>
            <w:r w:rsidR="00E71A0C" w:rsidRPr="0045757E">
              <w:t xml:space="preserve"> thus there is no need to require mental health services in tandem with Narcan. Any and all persons taking opioids should have this life-saving drug in their homes</w:t>
            </w:r>
            <w:r w:rsidR="00A603E4" w:rsidRPr="0045757E">
              <w:t>. Chair, Kirsty Gutierrez, suggested that those who request multiple prescriptions be referred to mental health services</w:t>
            </w:r>
            <w:r w:rsidR="00902FE3" w:rsidRPr="0045757E">
              <w:t>.</w:t>
            </w:r>
          </w:p>
          <w:p w14:paraId="44E0827F" w14:textId="2820294B" w:rsidR="0034516A" w:rsidRPr="0045757E" w:rsidRDefault="00902FE3" w:rsidP="00C81BF7">
            <w:pPr>
              <w:pStyle w:val="BodyText2"/>
              <w:jc w:val="both"/>
            </w:pPr>
            <w:r w:rsidRPr="0045757E">
              <w:t xml:space="preserve">HSAC member, Peggy Wallace, reminded P&amp;E members that the recommendation </w:t>
            </w:r>
            <w:r w:rsidR="007C16DC" w:rsidRPr="0045757E">
              <w:t>would be to put no caps or limits on Narcan whatsoever. Wallace added that perhaps</w:t>
            </w:r>
            <w:r w:rsidR="00166D1B" w:rsidRPr="0045757E">
              <w:t xml:space="preserve"> Narcan utilization data could be reviewed in the future. Nugent added that the Ryan White formulary is an open formulary, thus there are absolutely no caps or limits place on </w:t>
            </w:r>
            <w:r w:rsidR="003A4961" w:rsidRPr="0045757E">
              <w:t xml:space="preserve">available medications. Gutierrez </w:t>
            </w:r>
            <w:r w:rsidR="0034516A" w:rsidRPr="0045757E">
              <w:t>then recommended that this be forwarded on to Care Council for review.</w:t>
            </w:r>
          </w:p>
          <w:p w14:paraId="60D9BD52" w14:textId="77777777" w:rsidR="0034516A" w:rsidRPr="0045757E" w:rsidRDefault="0034516A" w:rsidP="003D243D">
            <w:pPr>
              <w:rPr>
                <w:rFonts w:ascii="Arial" w:hAnsi="Arial" w:cs="Arial"/>
                <w:b/>
                <w:color w:val="000000"/>
                <w:sz w:val="24"/>
                <w:szCs w:val="24"/>
              </w:rPr>
            </w:pPr>
            <w:r w:rsidRPr="0045757E">
              <w:rPr>
                <w:rFonts w:ascii="Arial" w:hAnsi="Arial" w:cs="Arial"/>
                <w:b/>
                <w:color w:val="000000"/>
                <w:sz w:val="24"/>
                <w:szCs w:val="24"/>
              </w:rPr>
              <w:t xml:space="preserve">The </w:t>
            </w:r>
            <w:r w:rsidRPr="0045757E">
              <w:rPr>
                <w:rFonts w:ascii="Arial" w:hAnsi="Arial" w:cs="Arial"/>
                <w:b/>
                <w:color w:val="000000"/>
                <w:sz w:val="24"/>
                <w:szCs w:val="24"/>
              </w:rPr>
              <w:t>recommendation to add Narcan (Naloxone) to the open formulary</w:t>
            </w:r>
            <w:r w:rsidR="003D243D" w:rsidRPr="0045757E">
              <w:rPr>
                <w:rFonts w:ascii="Arial" w:hAnsi="Arial" w:cs="Arial"/>
                <w:b/>
                <w:color w:val="000000"/>
                <w:sz w:val="24"/>
                <w:szCs w:val="24"/>
              </w:rPr>
              <w:t>, for review by Care Council, was</w:t>
            </w:r>
            <w:r w:rsidRPr="0045757E">
              <w:rPr>
                <w:rFonts w:ascii="Arial" w:hAnsi="Arial" w:cs="Arial"/>
                <w:b/>
                <w:color w:val="000000"/>
                <w:sz w:val="24"/>
                <w:szCs w:val="24"/>
              </w:rPr>
              <w:t xml:space="preserve"> approved by acclamation (M: </w:t>
            </w:r>
            <w:r w:rsidR="003D243D" w:rsidRPr="0045757E">
              <w:rPr>
                <w:rFonts w:ascii="Arial" w:hAnsi="Arial" w:cs="Arial"/>
                <w:b/>
                <w:color w:val="000000"/>
                <w:sz w:val="24"/>
                <w:szCs w:val="24"/>
              </w:rPr>
              <w:t>Merida</w:t>
            </w:r>
            <w:r w:rsidRPr="0045757E">
              <w:rPr>
                <w:rFonts w:ascii="Arial" w:hAnsi="Arial" w:cs="Arial"/>
                <w:b/>
                <w:color w:val="000000"/>
                <w:sz w:val="24"/>
                <w:szCs w:val="24"/>
              </w:rPr>
              <w:t xml:space="preserve">; S: </w:t>
            </w:r>
            <w:r w:rsidR="003D243D" w:rsidRPr="0045757E">
              <w:rPr>
                <w:rFonts w:ascii="Arial" w:hAnsi="Arial" w:cs="Arial"/>
                <w:b/>
                <w:color w:val="000000"/>
                <w:sz w:val="24"/>
                <w:szCs w:val="24"/>
              </w:rPr>
              <w:t>Finn</w:t>
            </w:r>
            <w:r w:rsidRPr="0045757E">
              <w:rPr>
                <w:rFonts w:ascii="Arial" w:hAnsi="Arial" w:cs="Arial"/>
                <w:b/>
                <w:color w:val="000000"/>
                <w:sz w:val="24"/>
                <w:szCs w:val="24"/>
              </w:rPr>
              <w:t>).</w:t>
            </w:r>
          </w:p>
          <w:p w14:paraId="590251E1" w14:textId="73A01F32" w:rsidR="003D243D" w:rsidRPr="0045757E" w:rsidRDefault="003D243D" w:rsidP="003D243D">
            <w:pPr>
              <w:rPr>
                <w:rFonts w:ascii="Arial" w:hAnsi="Arial" w:cs="Arial"/>
                <w:b/>
                <w:color w:val="000000"/>
                <w:sz w:val="24"/>
                <w:szCs w:val="24"/>
              </w:rPr>
            </w:pPr>
          </w:p>
        </w:tc>
      </w:tr>
      <w:tr w:rsidR="00C81BF7" w:rsidRPr="00A956B6" w14:paraId="3AF6D516" w14:textId="77777777" w:rsidTr="00125F7D">
        <w:trPr>
          <w:trHeight w:val="351"/>
        </w:trPr>
        <w:tc>
          <w:tcPr>
            <w:tcW w:w="3804" w:type="dxa"/>
          </w:tcPr>
          <w:p w14:paraId="43BDBE4C" w14:textId="77777777" w:rsidR="00D63E38" w:rsidRPr="0045757E" w:rsidRDefault="00D63E38" w:rsidP="00D63E38">
            <w:pPr>
              <w:rPr>
                <w:rFonts w:ascii="Arial" w:hAnsi="Arial" w:cs="Arial"/>
                <w:b/>
                <w:color w:val="000000"/>
                <w:sz w:val="24"/>
              </w:rPr>
            </w:pPr>
            <w:r w:rsidRPr="0045757E">
              <w:rPr>
                <w:rFonts w:ascii="Arial" w:hAnsi="Arial" w:cs="Arial"/>
                <w:b/>
                <w:color w:val="000000"/>
                <w:sz w:val="24"/>
              </w:rPr>
              <w:lastRenderedPageBreak/>
              <w:t>MINIMUM STANDARDS OF CARE (MSOC) REVISION PLAN</w:t>
            </w:r>
          </w:p>
          <w:p w14:paraId="52248778" w14:textId="77777777" w:rsidR="00C81BF7" w:rsidRPr="00A956B6" w:rsidRDefault="00C81BF7" w:rsidP="00C81BF7">
            <w:pPr>
              <w:rPr>
                <w:rFonts w:ascii="Arial" w:hAnsi="Arial" w:cs="Arial"/>
                <w:b/>
                <w:color w:val="000000"/>
                <w:sz w:val="24"/>
                <w:highlight w:val="yellow"/>
              </w:rPr>
            </w:pPr>
            <w:bookmarkStart w:id="0" w:name="_GoBack"/>
            <w:bookmarkEnd w:id="0"/>
          </w:p>
        </w:tc>
        <w:tc>
          <w:tcPr>
            <w:tcW w:w="6996" w:type="dxa"/>
          </w:tcPr>
          <w:p w14:paraId="6AD82B03" w14:textId="7EA30617" w:rsidR="006A25DB" w:rsidRPr="0045757E" w:rsidRDefault="007727B7" w:rsidP="006A25DB">
            <w:pPr>
              <w:pStyle w:val="BodyText2"/>
              <w:jc w:val="both"/>
            </w:pPr>
            <w:r w:rsidRPr="0045757E">
              <w:t xml:space="preserve">Chair, Kirsty Gutierrez, </w:t>
            </w:r>
            <w:r w:rsidR="001F2D23" w:rsidRPr="0045757E">
              <w:t xml:space="preserve">opened the MSOC revisions agenda item by inquiring if any recommendations had been received from </w:t>
            </w:r>
            <w:r w:rsidR="00570A40" w:rsidRPr="0045757E">
              <w:t xml:space="preserve">the Health Resources and Services Administration </w:t>
            </w:r>
            <w:r w:rsidR="00570A40" w:rsidRPr="0045757E">
              <w:lastRenderedPageBreak/>
              <w:t xml:space="preserve">(HRSA), following </w:t>
            </w:r>
            <w:r w:rsidR="00810EC2" w:rsidRPr="0045757E">
              <w:t>edits forwarded to the area’s project officer (PO). Recipient, Aubrey Arnold, informed Committee members that staff, Naomi Ardjomand-Kermani, and he had</w:t>
            </w:r>
            <w:r w:rsidR="006B3141" w:rsidRPr="0045757E">
              <w:t xml:space="preserve"> several conference calls with the PO regarding the MSOC recommendations received at last spring’s site visit</w:t>
            </w:r>
            <w:r w:rsidR="001D59C9" w:rsidRPr="0045757E">
              <w:t>. Arnold and Ardjomand-Kermani reviewed many different Eligible Metropolitan Area’s (EMA)</w:t>
            </w:r>
            <w:r w:rsidR="00EF6356" w:rsidRPr="0045757E">
              <w:t xml:space="preserve"> service standards and none were consistent with any other are</w:t>
            </w:r>
            <w:r w:rsidR="00374A93" w:rsidRPr="0045757E">
              <w:t xml:space="preserve">as. Arnold was told that the current MSOC </w:t>
            </w:r>
            <w:r w:rsidR="00E46B1C" w:rsidRPr="0045757E">
              <w:t>is a “solid foundation”</w:t>
            </w:r>
            <w:r w:rsidR="006A25DB" w:rsidRPr="0045757E">
              <w:t xml:space="preserve"> but </w:t>
            </w:r>
            <w:r w:rsidR="004D155D" w:rsidRPr="0045757E">
              <w:t xml:space="preserve">all current standards </w:t>
            </w:r>
            <w:r w:rsidR="006A25DB" w:rsidRPr="0045757E">
              <w:t>fail to include the following elements:</w:t>
            </w:r>
          </w:p>
          <w:p w14:paraId="01F712BF" w14:textId="609D71DD" w:rsidR="006A25DB" w:rsidRPr="0045757E" w:rsidRDefault="006A25DB" w:rsidP="00764041">
            <w:pPr>
              <w:pStyle w:val="BodyText2"/>
              <w:numPr>
                <w:ilvl w:val="0"/>
                <w:numId w:val="5"/>
              </w:numPr>
              <w:jc w:val="both"/>
            </w:pPr>
            <w:r w:rsidRPr="0045757E">
              <w:t>Intake and eligibility</w:t>
            </w:r>
          </w:p>
          <w:p w14:paraId="7E96D837" w14:textId="76858BC8" w:rsidR="006A25DB" w:rsidRPr="0045757E" w:rsidRDefault="006A25DB" w:rsidP="00764041">
            <w:pPr>
              <w:pStyle w:val="BodyText2"/>
              <w:numPr>
                <w:ilvl w:val="0"/>
                <w:numId w:val="5"/>
              </w:numPr>
              <w:jc w:val="both"/>
            </w:pPr>
            <w:r w:rsidRPr="0045757E">
              <w:t>Personnel qualifications (including licensure)</w:t>
            </w:r>
          </w:p>
          <w:p w14:paraId="7BF1A3F9" w14:textId="7C507861" w:rsidR="006A25DB" w:rsidRPr="0045757E" w:rsidRDefault="006A25DB" w:rsidP="00764041">
            <w:pPr>
              <w:pStyle w:val="BodyText2"/>
              <w:numPr>
                <w:ilvl w:val="0"/>
                <w:numId w:val="5"/>
              </w:numPr>
              <w:jc w:val="both"/>
            </w:pPr>
            <w:r w:rsidRPr="0045757E">
              <w:t>Transition and discharge</w:t>
            </w:r>
          </w:p>
          <w:p w14:paraId="002C9141" w14:textId="362723D7" w:rsidR="006A25DB" w:rsidRPr="0045757E" w:rsidRDefault="006A25DB" w:rsidP="00764041">
            <w:pPr>
              <w:pStyle w:val="BodyText2"/>
              <w:numPr>
                <w:ilvl w:val="0"/>
                <w:numId w:val="5"/>
              </w:numPr>
              <w:jc w:val="both"/>
            </w:pPr>
            <w:r w:rsidRPr="0045757E">
              <w:t>Case closure protocol</w:t>
            </w:r>
          </w:p>
          <w:p w14:paraId="48CD1F96" w14:textId="1696B9A9" w:rsidR="006A25DB" w:rsidRPr="0045757E" w:rsidRDefault="006A25DB" w:rsidP="00764041">
            <w:pPr>
              <w:pStyle w:val="BodyText2"/>
              <w:numPr>
                <w:ilvl w:val="0"/>
                <w:numId w:val="5"/>
              </w:numPr>
              <w:jc w:val="both"/>
            </w:pPr>
            <w:r w:rsidRPr="0045757E">
              <w:t>Client rights and responsibilities</w:t>
            </w:r>
          </w:p>
          <w:p w14:paraId="0041A772" w14:textId="2F5D57F8" w:rsidR="006A25DB" w:rsidRPr="0045757E" w:rsidRDefault="006A25DB" w:rsidP="00764041">
            <w:pPr>
              <w:pStyle w:val="BodyText2"/>
              <w:numPr>
                <w:ilvl w:val="0"/>
                <w:numId w:val="5"/>
              </w:numPr>
              <w:jc w:val="both"/>
            </w:pPr>
            <w:r w:rsidRPr="0045757E">
              <w:t>Grievance process</w:t>
            </w:r>
          </w:p>
          <w:p w14:paraId="71C17C21" w14:textId="2B049B30" w:rsidR="006A25DB" w:rsidRPr="0045757E" w:rsidRDefault="006A25DB" w:rsidP="00764041">
            <w:pPr>
              <w:pStyle w:val="BodyText2"/>
              <w:numPr>
                <w:ilvl w:val="0"/>
                <w:numId w:val="5"/>
              </w:numPr>
              <w:jc w:val="both"/>
            </w:pPr>
            <w:r w:rsidRPr="0045757E">
              <w:t>Cultural and linguistic competency</w:t>
            </w:r>
          </w:p>
          <w:p w14:paraId="26C3F547" w14:textId="6AC24EF6" w:rsidR="006A25DB" w:rsidRPr="0045757E" w:rsidRDefault="006A25DB" w:rsidP="00764041">
            <w:pPr>
              <w:pStyle w:val="BodyText2"/>
              <w:numPr>
                <w:ilvl w:val="0"/>
                <w:numId w:val="5"/>
              </w:numPr>
              <w:jc w:val="both"/>
            </w:pPr>
            <w:r w:rsidRPr="0045757E">
              <w:t>Privacy and confidentiality (including securing records)</w:t>
            </w:r>
          </w:p>
          <w:p w14:paraId="2DB87548" w14:textId="5DEA3707" w:rsidR="00764041" w:rsidRPr="0045757E" w:rsidRDefault="006A25DB" w:rsidP="00764041">
            <w:pPr>
              <w:pStyle w:val="BodyText2"/>
              <w:numPr>
                <w:ilvl w:val="0"/>
                <w:numId w:val="5"/>
              </w:numPr>
              <w:jc w:val="both"/>
            </w:pPr>
            <w:r w:rsidRPr="0045757E">
              <w:t>Recertification requirements</w:t>
            </w:r>
          </w:p>
          <w:p w14:paraId="540E11A5" w14:textId="77777777" w:rsidR="002647A9" w:rsidRPr="0045757E" w:rsidRDefault="00764041" w:rsidP="006A25DB">
            <w:pPr>
              <w:pStyle w:val="BodyText2"/>
              <w:numPr>
                <w:ilvl w:val="0"/>
                <w:numId w:val="5"/>
              </w:numPr>
              <w:jc w:val="both"/>
            </w:pPr>
            <w:r w:rsidRPr="0045757E">
              <w:t xml:space="preserve">Cited sources used </w:t>
            </w:r>
            <w:proofErr w:type="spellStart"/>
            <w:r w:rsidRPr="0045757E">
              <w:t>eg</w:t>
            </w:r>
            <w:proofErr w:type="spellEnd"/>
            <w:r w:rsidRPr="0045757E">
              <w:t xml:space="preserve">) </w:t>
            </w:r>
            <w:r w:rsidR="006D637A" w:rsidRPr="0045757E">
              <w:t>Policy Clarification Notice</w:t>
            </w:r>
            <w:r w:rsidR="006D637A" w:rsidRPr="0045757E">
              <w:t>s</w:t>
            </w:r>
            <w:r w:rsidR="006D637A" w:rsidRPr="0045757E">
              <w:t xml:space="preserve"> (PCN)</w:t>
            </w:r>
            <w:r w:rsidR="006D637A" w:rsidRPr="0045757E">
              <w:t xml:space="preserve">, </w:t>
            </w:r>
            <w:r w:rsidR="006A25DB" w:rsidRPr="0045757E">
              <w:t>any relevant professional standards</w:t>
            </w:r>
            <w:r w:rsidR="006D637A" w:rsidRPr="0045757E">
              <w:t>, and</w:t>
            </w:r>
            <w:r w:rsidR="006A25DB" w:rsidRPr="0045757E">
              <w:t xml:space="preserve"> the date last reviewed</w:t>
            </w:r>
          </w:p>
          <w:p w14:paraId="4CDCA3FA" w14:textId="529D82A7" w:rsidR="008C67F2" w:rsidRPr="0045757E" w:rsidRDefault="002647A9" w:rsidP="008C67F2">
            <w:pPr>
              <w:pStyle w:val="BodyText2"/>
              <w:numPr>
                <w:ilvl w:val="0"/>
                <w:numId w:val="5"/>
              </w:numPr>
              <w:jc w:val="both"/>
            </w:pPr>
            <w:r w:rsidRPr="0045757E">
              <w:t>F</w:t>
            </w:r>
            <w:r w:rsidR="006A25DB" w:rsidRPr="0045757E">
              <w:t xml:space="preserve">or the </w:t>
            </w:r>
            <w:r w:rsidRPr="0045757E">
              <w:t>Outpatient Ambulatory Health Services (</w:t>
            </w:r>
            <w:r w:rsidR="006A25DB" w:rsidRPr="0045757E">
              <w:t>OAHS</w:t>
            </w:r>
            <w:r w:rsidRPr="0045757E">
              <w:t>)</w:t>
            </w:r>
            <w:r w:rsidR="006A25DB" w:rsidRPr="0045757E">
              <w:t xml:space="preserve"> standards, </w:t>
            </w:r>
            <w:r w:rsidRPr="0045757E">
              <w:t xml:space="preserve">it </w:t>
            </w:r>
            <w:r w:rsidR="008C67F2" w:rsidRPr="0045757E">
              <w:t>must</w:t>
            </w:r>
            <w:r w:rsidRPr="0045757E">
              <w:t xml:space="preserve"> be</w:t>
            </w:r>
            <w:r w:rsidR="006A25DB" w:rsidRPr="0045757E">
              <w:t xml:space="preserve"> understood that the </w:t>
            </w:r>
            <w:r w:rsidRPr="0045757E">
              <w:t>Health and Human Services (</w:t>
            </w:r>
            <w:r w:rsidR="006A25DB" w:rsidRPr="0045757E">
              <w:t>HHS</w:t>
            </w:r>
            <w:r w:rsidRPr="0045757E">
              <w:t>)</w:t>
            </w:r>
            <w:r w:rsidR="006A25DB" w:rsidRPr="0045757E">
              <w:t xml:space="preserve"> HIV Clinical Guidelines are the required guidelines that clinicians must follow</w:t>
            </w:r>
            <w:r w:rsidRPr="0045757E">
              <w:t xml:space="preserve">, </w:t>
            </w:r>
            <w:r w:rsidR="006A25DB" w:rsidRPr="0045757E">
              <w:t>according to the legislation</w:t>
            </w:r>
            <w:r w:rsidRPr="0045757E">
              <w:t>.</w:t>
            </w:r>
            <w:r w:rsidR="006A25DB" w:rsidRPr="0045757E">
              <w:t xml:space="preserve"> Any other guidelines would only be applicable to an activity not covered under the HHS Guidelines</w:t>
            </w:r>
          </w:p>
          <w:p w14:paraId="2DD17F23" w14:textId="77777777" w:rsidR="009927E9" w:rsidRPr="0045757E" w:rsidRDefault="009927E9" w:rsidP="008C67F2">
            <w:pPr>
              <w:pStyle w:val="BodyText2"/>
              <w:jc w:val="both"/>
            </w:pPr>
            <w:r w:rsidRPr="0045757E">
              <w:t>Further correspondence with the EMA’s PO</w:t>
            </w:r>
            <w:r w:rsidR="00B03456" w:rsidRPr="0045757E">
              <w:t xml:space="preserve"> clarified that solely funded services required MSOC and are unnecessary for services that are not funded in the local EMA.</w:t>
            </w:r>
            <w:r w:rsidR="007C60F4" w:rsidRPr="0045757E">
              <w:t xml:space="preserve"> Members were encouraged by this news as the burden of revisions will require less time than anticipated.</w:t>
            </w:r>
            <w:r w:rsidR="003F547B" w:rsidRPr="0045757E">
              <w:t xml:space="preserve"> Chair, Kirsty Gutierrez, asked Arnold if a template was created by monitoring staff</w:t>
            </w:r>
            <w:r w:rsidR="00072769" w:rsidRPr="0045757E">
              <w:t xml:space="preserve"> </w:t>
            </w:r>
            <w:proofErr w:type="spellStart"/>
            <w:r w:rsidR="00072769" w:rsidRPr="0045757E">
              <w:t>Maria-Teres</w:t>
            </w:r>
            <w:proofErr w:type="spellEnd"/>
            <w:r w:rsidR="00072769" w:rsidRPr="0045757E">
              <w:t>a</w:t>
            </w:r>
            <w:r w:rsidR="00072769" w:rsidRPr="0045757E">
              <w:t xml:space="preserve"> </w:t>
            </w:r>
            <w:r w:rsidR="00072769" w:rsidRPr="0045757E">
              <w:t>Jaureguizar</w:t>
            </w:r>
            <w:r w:rsidR="00072769" w:rsidRPr="0045757E">
              <w:t xml:space="preserve"> (MT), as discussed and requested at the December 2019 P&amp;E meeting.</w:t>
            </w:r>
            <w:r w:rsidR="00DD6A1F" w:rsidRPr="0045757E">
              <w:t xml:space="preserve"> Arnold replied that the current MSOC should be used as a template to build upon</w:t>
            </w:r>
            <w:r w:rsidR="00C90B42" w:rsidRPr="0045757E">
              <w:t>.</w:t>
            </w:r>
          </w:p>
          <w:p w14:paraId="77B4FD92" w14:textId="77777777" w:rsidR="00C90B42" w:rsidRPr="0045757E" w:rsidRDefault="00C90B42" w:rsidP="008C67F2">
            <w:pPr>
              <w:pStyle w:val="BodyText2"/>
              <w:jc w:val="both"/>
            </w:pPr>
            <w:r w:rsidRPr="0045757E">
              <w:t xml:space="preserve">Members inquired as to </w:t>
            </w:r>
            <w:r w:rsidR="00317891" w:rsidRPr="0045757E">
              <w:t>how sources should be cited and were told that citations will be unique to each service and may not apply to each one of them.</w:t>
            </w:r>
            <w:r w:rsidR="00241C62" w:rsidRPr="0045757E">
              <w:t xml:space="preserve"> The same goes for each element that must be included – a baseline must be created as a standard for universal quality of care, </w:t>
            </w:r>
            <w:r w:rsidR="00743AFE" w:rsidRPr="0045757E">
              <w:t xml:space="preserve">but each provider will have their own additional standards to hold themselves to. </w:t>
            </w:r>
            <w:r w:rsidR="004039D5" w:rsidRPr="0045757E">
              <w:t xml:space="preserve">Gutierrez requested that a schedule for revisions be created a </w:t>
            </w:r>
            <w:r w:rsidR="004039D5" w:rsidRPr="0045757E">
              <w:lastRenderedPageBreak/>
              <w:t>shared publicly to garner provider input and participation in the revision process.</w:t>
            </w:r>
            <w:r w:rsidR="00CA6E85" w:rsidRPr="0045757E">
              <w:t xml:space="preserve"> Member, Nolan Finn, offered that during procurement providers are required to meet standards contractually and this language could</w:t>
            </w:r>
            <w:r w:rsidR="007F7104" w:rsidRPr="0045757E">
              <w:t xml:space="preserve"> be utilized, to which Arnold agreed to provide.</w:t>
            </w:r>
            <w:r w:rsidR="002137C4" w:rsidRPr="0045757E">
              <w:t xml:space="preserve"> Guest, Peggy Wallace, asked if these standards would require additional paperwork on the provider’s end and Arnold </w:t>
            </w:r>
            <w:r w:rsidR="001832FD" w:rsidRPr="0045757E">
              <w:t>replied that this should be avoided.</w:t>
            </w:r>
          </w:p>
          <w:p w14:paraId="645A3370" w14:textId="37B489C9" w:rsidR="003706DA" w:rsidRPr="0045757E" w:rsidRDefault="00E92BB6" w:rsidP="008C67F2">
            <w:pPr>
              <w:pStyle w:val="BodyText2"/>
              <w:jc w:val="both"/>
            </w:pPr>
            <w:r w:rsidRPr="0045757E">
              <w:t xml:space="preserve">Based on information provided by providers in attendance, along with </w:t>
            </w:r>
            <w:r w:rsidR="003706DA" w:rsidRPr="0045757E">
              <w:t>members recommendations, the following edits were made</w:t>
            </w:r>
            <w:r w:rsidR="001079F1" w:rsidRPr="0045757E">
              <w:t xml:space="preserve"> to the current OAHS service standard:</w:t>
            </w:r>
          </w:p>
          <w:p w14:paraId="2416C0EF" w14:textId="77777777" w:rsidR="00D01527" w:rsidRPr="0045757E" w:rsidRDefault="00D01527" w:rsidP="008C67F2">
            <w:pPr>
              <w:pStyle w:val="BodyText2"/>
              <w:jc w:val="both"/>
            </w:pPr>
          </w:p>
          <w:p w14:paraId="001E8A0D" w14:textId="77777777" w:rsidR="00842146" w:rsidRPr="0045757E" w:rsidRDefault="00842146" w:rsidP="00842146">
            <w:pPr>
              <w:pStyle w:val="BodyText2"/>
              <w:jc w:val="center"/>
              <w:rPr>
                <w:b/>
                <w:bCs/>
              </w:rPr>
            </w:pPr>
            <w:r w:rsidRPr="0045757E">
              <w:rPr>
                <w:b/>
                <w:bCs/>
              </w:rPr>
              <w:t>Minimum Standards of Care</w:t>
            </w:r>
          </w:p>
          <w:p w14:paraId="32BC82AC" w14:textId="3AE7A4A7" w:rsidR="00842146" w:rsidRPr="0045757E" w:rsidRDefault="00842146" w:rsidP="00842146">
            <w:pPr>
              <w:pStyle w:val="BodyText2"/>
              <w:jc w:val="center"/>
              <w:rPr>
                <w:b/>
                <w:bCs/>
              </w:rPr>
            </w:pPr>
            <w:r w:rsidRPr="0045757E">
              <w:rPr>
                <w:b/>
                <w:bCs/>
              </w:rPr>
              <w:t>Outpatient/Ambulatory Health Services</w:t>
            </w:r>
          </w:p>
          <w:p w14:paraId="63A478A0" w14:textId="77777777" w:rsidR="00D01527" w:rsidRPr="0045757E" w:rsidRDefault="00D01527" w:rsidP="00842146">
            <w:pPr>
              <w:pStyle w:val="BodyText2"/>
              <w:jc w:val="center"/>
              <w:rPr>
                <w:b/>
                <w:bCs/>
              </w:rPr>
            </w:pPr>
          </w:p>
          <w:p w14:paraId="31E38A96" w14:textId="168B5170" w:rsidR="00842146" w:rsidRPr="0045757E" w:rsidRDefault="00842146" w:rsidP="00842146">
            <w:pPr>
              <w:pStyle w:val="BodyText2"/>
              <w:jc w:val="both"/>
            </w:pPr>
            <w:r w:rsidRPr="0045757E">
              <w:t>Outpatient/Ambulatory Health Services are diagnostic and therapeutic services provided directly to a client by a licensed healthcare provider in an outpatient medical setting. Outpatient medical settings include clinics, medical offices, and mobile vans where clients do not stay overnight. Emergency room or urgent care services are not considered outpatient settings.</w:t>
            </w:r>
          </w:p>
          <w:p w14:paraId="0148724A" w14:textId="77777777" w:rsidR="00842146" w:rsidRPr="0045757E" w:rsidRDefault="00842146" w:rsidP="00842146">
            <w:pPr>
              <w:pStyle w:val="BodyText2"/>
              <w:jc w:val="both"/>
            </w:pPr>
            <w:r w:rsidRPr="0045757E">
              <w:t xml:space="preserve">Allowable activities include: </w:t>
            </w:r>
          </w:p>
          <w:p w14:paraId="53553389" w14:textId="77777777" w:rsidR="00842146" w:rsidRPr="0045757E" w:rsidRDefault="00842146" w:rsidP="00D01527">
            <w:pPr>
              <w:pStyle w:val="BodyText2"/>
              <w:ind w:left="720"/>
              <w:jc w:val="both"/>
            </w:pPr>
            <w:r w:rsidRPr="0045757E">
              <w:t xml:space="preserve">• Medical history taking </w:t>
            </w:r>
          </w:p>
          <w:p w14:paraId="06A6E085" w14:textId="77777777" w:rsidR="00842146" w:rsidRPr="0045757E" w:rsidRDefault="00842146" w:rsidP="00D01527">
            <w:pPr>
              <w:pStyle w:val="BodyText2"/>
              <w:ind w:left="720"/>
              <w:jc w:val="both"/>
            </w:pPr>
            <w:r w:rsidRPr="0045757E">
              <w:t xml:space="preserve">• Physical examination </w:t>
            </w:r>
          </w:p>
          <w:p w14:paraId="4B0013C6" w14:textId="77777777" w:rsidR="00842146" w:rsidRPr="0045757E" w:rsidRDefault="00842146" w:rsidP="00D01527">
            <w:pPr>
              <w:pStyle w:val="BodyText2"/>
              <w:ind w:left="720"/>
              <w:jc w:val="both"/>
            </w:pPr>
            <w:r w:rsidRPr="0045757E">
              <w:t xml:space="preserve">• Diagnostic testing, including laboratory testing </w:t>
            </w:r>
          </w:p>
          <w:p w14:paraId="5D037B61" w14:textId="77777777" w:rsidR="00842146" w:rsidRPr="0045757E" w:rsidRDefault="00842146" w:rsidP="00D01527">
            <w:pPr>
              <w:pStyle w:val="BodyText2"/>
              <w:ind w:left="720"/>
              <w:jc w:val="both"/>
            </w:pPr>
            <w:r w:rsidRPr="0045757E">
              <w:t xml:space="preserve">• Treatment and management of physical and behavioral health conditions </w:t>
            </w:r>
          </w:p>
          <w:p w14:paraId="69A11A04" w14:textId="77777777" w:rsidR="00842146" w:rsidRPr="0045757E" w:rsidRDefault="00842146" w:rsidP="00D01527">
            <w:pPr>
              <w:pStyle w:val="BodyText2"/>
              <w:ind w:left="720"/>
              <w:jc w:val="both"/>
            </w:pPr>
            <w:r w:rsidRPr="0045757E">
              <w:t xml:space="preserve">• Behavioral risk assessment, subsequent counseling, and referral </w:t>
            </w:r>
          </w:p>
          <w:p w14:paraId="64700D3A" w14:textId="77777777" w:rsidR="00842146" w:rsidRPr="0045757E" w:rsidRDefault="00842146" w:rsidP="00D01527">
            <w:pPr>
              <w:pStyle w:val="BodyText2"/>
              <w:ind w:left="720"/>
              <w:jc w:val="both"/>
            </w:pPr>
            <w:r w:rsidRPr="0045757E">
              <w:t xml:space="preserve">• Preventive care and screening </w:t>
            </w:r>
          </w:p>
          <w:p w14:paraId="39B85AFD" w14:textId="77777777" w:rsidR="00842146" w:rsidRPr="0045757E" w:rsidRDefault="00842146" w:rsidP="00D01527">
            <w:pPr>
              <w:pStyle w:val="BodyText2"/>
              <w:ind w:left="720"/>
              <w:jc w:val="both"/>
            </w:pPr>
            <w:r w:rsidRPr="0045757E">
              <w:t xml:space="preserve">• Pediatric developmental assessment </w:t>
            </w:r>
          </w:p>
          <w:p w14:paraId="70876B7B" w14:textId="77777777" w:rsidR="00842146" w:rsidRPr="0045757E" w:rsidRDefault="00842146" w:rsidP="00D01527">
            <w:pPr>
              <w:pStyle w:val="BodyText2"/>
              <w:ind w:left="720"/>
              <w:jc w:val="both"/>
            </w:pPr>
            <w:r w:rsidRPr="0045757E">
              <w:t xml:space="preserve">• Prescription and management of medication therapy </w:t>
            </w:r>
          </w:p>
          <w:p w14:paraId="16334A24" w14:textId="77777777" w:rsidR="00842146" w:rsidRPr="0045757E" w:rsidRDefault="00842146" w:rsidP="00D01527">
            <w:pPr>
              <w:pStyle w:val="BodyText2"/>
              <w:ind w:left="720"/>
              <w:jc w:val="both"/>
            </w:pPr>
            <w:r w:rsidRPr="0045757E">
              <w:t xml:space="preserve">• Treatment adherence </w:t>
            </w:r>
          </w:p>
          <w:p w14:paraId="48B015AD" w14:textId="77777777" w:rsidR="00842146" w:rsidRPr="0045757E" w:rsidRDefault="00842146" w:rsidP="00D01527">
            <w:pPr>
              <w:pStyle w:val="BodyText2"/>
              <w:ind w:left="720"/>
              <w:jc w:val="both"/>
            </w:pPr>
            <w:r w:rsidRPr="0045757E">
              <w:t xml:space="preserve">• Education and counseling on health and prevention issues </w:t>
            </w:r>
          </w:p>
          <w:p w14:paraId="7A54829F" w14:textId="02D5CE48" w:rsidR="001079F1" w:rsidRPr="0045757E" w:rsidRDefault="00842146" w:rsidP="00D01527">
            <w:pPr>
              <w:pStyle w:val="BodyText2"/>
              <w:ind w:left="720"/>
              <w:jc w:val="both"/>
            </w:pPr>
            <w:r w:rsidRPr="0045757E">
              <w:t>• Referral to and provision of specialty care related to HIV diagnosis</w:t>
            </w:r>
          </w:p>
          <w:p w14:paraId="5F5760F8" w14:textId="362FE882" w:rsidR="00D01527" w:rsidRPr="0045757E" w:rsidRDefault="00D01527" w:rsidP="00D01527">
            <w:pPr>
              <w:pStyle w:val="BodyText2"/>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265"/>
            </w:tblGrid>
            <w:tr w:rsidR="005901C7" w:rsidRPr="0045757E" w14:paraId="1E2177C0" w14:textId="77777777" w:rsidTr="00B23F9C">
              <w:tblPrEx>
                <w:tblCellMar>
                  <w:top w:w="0" w:type="dxa"/>
                  <w:bottom w:w="0" w:type="dxa"/>
                </w:tblCellMar>
              </w:tblPrEx>
              <w:trPr>
                <w:trHeight w:val="432"/>
              </w:trPr>
              <w:tc>
                <w:tcPr>
                  <w:tcW w:w="4860" w:type="dxa"/>
                </w:tcPr>
                <w:p w14:paraId="37064C20" w14:textId="77777777" w:rsidR="005901C7" w:rsidRPr="0045757E" w:rsidRDefault="005901C7" w:rsidP="005901C7">
                  <w:pPr>
                    <w:pStyle w:val="Heading1"/>
                    <w:spacing w:before="120" w:after="120"/>
                    <w:rPr>
                      <w:rFonts w:ascii="Arial" w:hAnsi="Arial" w:cs="Arial"/>
                      <w:bCs/>
                      <w:sz w:val="20"/>
                    </w:rPr>
                  </w:pPr>
                  <w:r w:rsidRPr="0045757E">
                    <w:rPr>
                      <w:rFonts w:ascii="Arial" w:hAnsi="Arial" w:cs="Arial"/>
                      <w:bCs/>
                      <w:sz w:val="20"/>
                    </w:rPr>
                    <w:t>STANDARD</w:t>
                  </w:r>
                </w:p>
              </w:tc>
              <w:tc>
                <w:tcPr>
                  <w:tcW w:w="4608" w:type="dxa"/>
                </w:tcPr>
                <w:p w14:paraId="07A34883" w14:textId="77777777" w:rsidR="005901C7" w:rsidRPr="0045757E" w:rsidRDefault="005901C7" w:rsidP="005901C7">
                  <w:pPr>
                    <w:pStyle w:val="Heading1"/>
                    <w:spacing w:before="120" w:after="120"/>
                    <w:rPr>
                      <w:rFonts w:ascii="Arial" w:hAnsi="Arial" w:cs="Arial"/>
                      <w:bCs/>
                      <w:sz w:val="20"/>
                    </w:rPr>
                  </w:pPr>
                  <w:r w:rsidRPr="0045757E">
                    <w:rPr>
                      <w:rFonts w:ascii="Arial" w:hAnsi="Arial" w:cs="Arial"/>
                      <w:bCs/>
                      <w:sz w:val="20"/>
                    </w:rPr>
                    <w:t>MEASURE</w:t>
                  </w:r>
                </w:p>
              </w:tc>
            </w:tr>
            <w:tr w:rsidR="005901C7" w:rsidRPr="0045757E" w14:paraId="1F018561" w14:textId="77777777" w:rsidTr="00B23F9C">
              <w:tblPrEx>
                <w:tblCellMar>
                  <w:top w:w="0" w:type="dxa"/>
                  <w:bottom w:w="0" w:type="dxa"/>
                </w:tblCellMar>
              </w:tblPrEx>
              <w:tc>
                <w:tcPr>
                  <w:tcW w:w="4860" w:type="dxa"/>
                </w:tcPr>
                <w:p w14:paraId="07020896" w14:textId="77777777" w:rsidR="005901C7" w:rsidRPr="0045757E" w:rsidRDefault="005901C7" w:rsidP="005901C7">
                  <w:pPr>
                    <w:numPr>
                      <w:ilvl w:val="0"/>
                      <w:numId w:val="7"/>
                    </w:numPr>
                    <w:tabs>
                      <w:tab w:val="clear" w:pos="1080"/>
                      <w:tab w:val="num" w:pos="432"/>
                    </w:tabs>
                    <w:spacing w:after="0" w:line="240" w:lineRule="auto"/>
                    <w:ind w:left="432" w:hanging="360"/>
                    <w:rPr>
                      <w:rFonts w:ascii="Arial" w:hAnsi="Arial" w:cs="Arial"/>
                      <w:sz w:val="20"/>
                    </w:rPr>
                  </w:pPr>
                  <w:r w:rsidRPr="0045757E">
                    <w:rPr>
                      <w:rFonts w:ascii="Arial" w:hAnsi="Arial" w:cs="Arial"/>
                      <w:sz w:val="20"/>
                    </w:rPr>
                    <w:t xml:space="preserve">Providers shall follow nationally accepted treatment guidelines, i.e., Centers for Disease Control (CDC), Infectious Disease Society of </w:t>
                  </w:r>
                  <w:r w:rsidRPr="0045757E">
                    <w:rPr>
                      <w:rFonts w:ascii="Arial" w:hAnsi="Arial" w:cs="Arial"/>
                      <w:sz w:val="20"/>
                    </w:rPr>
                    <w:lastRenderedPageBreak/>
                    <w:t>America (IDSA), or Department of Health and Human Services (DHHS).</w:t>
                  </w:r>
                </w:p>
                <w:p w14:paraId="469CEDFC" w14:textId="66488422" w:rsidR="00F43561" w:rsidRPr="0045757E" w:rsidRDefault="00F43561" w:rsidP="00F43561">
                  <w:pPr>
                    <w:spacing w:after="0" w:line="240" w:lineRule="auto"/>
                    <w:ind w:left="432"/>
                    <w:rPr>
                      <w:rFonts w:ascii="Arial" w:hAnsi="Arial" w:cs="Arial"/>
                      <w:sz w:val="20"/>
                    </w:rPr>
                  </w:pPr>
                </w:p>
              </w:tc>
              <w:tc>
                <w:tcPr>
                  <w:tcW w:w="4608" w:type="dxa"/>
                </w:tcPr>
                <w:p w14:paraId="0D62B68A" w14:textId="77777777" w:rsidR="005901C7" w:rsidRPr="0045757E" w:rsidRDefault="005901C7" w:rsidP="005901C7">
                  <w:pPr>
                    <w:numPr>
                      <w:ilvl w:val="0"/>
                      <w:numId w:val="6"/>
                    </w:numPr>
                    <w:tabs>
                      <w:tab w:val="clear" w:pos="1080"/>
                      <w:tab w:val="num" w:pos="295"/>
                    </w:tabs>
                    <w:spacing w:after="0" w:line="240" w:lineRule="auto"/>
                    <w:ind w:left="280" w:hanging="280"/>
                    <w:rPr>
                      <w:rFonts w:ascii="Arial" w:hAnsi="Arial" w:cs="Arial"/>
                      <w:sz w:val="20"/>
                    </w:rPr>
                  </w:pPr>
                  <w:r w:rsidRPr="0045757E">
                    <w:rPr>
                      <w:rFonts w:ascii="Arial" w:hAnsi="Arial" w:cs="Arial"/>
                      <w:sz w:val="20"/>
                    </w:rPr>
                    <w:lastRenderedPageBreak/>
                    <w:t>Written procedures and/or documentation on file as examined by the Recipient/Lead Agency.</w:t>
                  </w:r>
                </w:p>
              </w:tc>
            </w:tr>
            <w:tr w:rsidR="005901C7" w:rsidRPr="0045757E" w14:paraId="1B947476" w14:textId="77777777" w:rsidTr="00B23F9C">
              <w:tblPrEx>
                <w:tblCellMar>
                  <w:top w:w="0" w:type="dxa"/>
                  <w:bottom w:w="0" w:type="dxa"/>
                </w:tblCellMar>
              </w:tblPrEx>
              <w:tc>
                <w:tcPr>
                  <w:tcW w:w="4860" w:type="dxa"/>
                </w:tcPr>
                <w:p w14:paraId="1752DB12" w14:textId="532601F3" w:rsidR="005901C7" w:rsidRPr="0045757E" w:rsidRDefault="00A06D96" w:rsidP="005901C7">
                  <w:pPr>
                    <w:numPr>
                      <w:ilvl w:val="0"/>
                      <w:numId w:val="7"/>
                    </w:numPr>
                    <w:tabs>
                      <w:tab w:val="clear" w:pos="1080"/>
                      <w:tab w:val="num" w:pos="432"/>
                    </w:tabs>
                    <w:spacing w:after="0" w:line="240" w:lineRule="auto"/>
                    <w:ind w:left="432" w:hanging="360"/>
                    <w:rPr>
                      <w:rFonts w:ascii="Arial" w:hAnsi="Arial" w:cs="Arial"/>
                      <w:sz w:val="20"/>
                    </w:rPr>
                  </w:pPr>
                  <w:r w:rsidRPr="0045757E">
                    <w:rPr>
                      <w:rFonts w:ascii="Arial" w:hAnsi="Arial" w:cs="Arial"/>
                      <w:sz w:val="20"/>
                    </w:rPr>
                    <w:t>Intake &amp; Eligibility</w:t>
                  </w:r>
                </w:p>
              </w:tc>
              <w:tc>
                <w:tcPr>
                  <w:tcW w:w="4608" w:type="dxa"/>
                </w:tcPr>
                <w:p w14:paraId="60AB02BA" w14:textId="6D1E5573" w:rsidR="005901C7" w:rsidRPr="0045757E" w:rsidRDefault="00D1464F" w:rsidP="005901C7">
                  <w:pPr>
                    <w:numPr>
                      <w:ilvl w:val="0"/>
                      <w:numId w:val="6"/>
                    </w:numPr>
                    <w:tabs>
                      <w:tab w:val="clear" w:pos="1080"/>
                      <w:tab w:val="num" w:pos="295"/>
                    </w:tabs>
                    <w:spacing w:after="0" w:line="240" w:lineRule="auto"/>
                    <w:ind w:left="280" w:hanging="280"/>
                    <w:rPr>
                      <w:rFonts w:ascii="Arial" w:hAnsi="Arial" w:cs="Arial"/>
                      <w:sz w:val="20"/>
                    </w:rPr>
                  </w:pPr>
                  <w:r w:rsidRPr="0045757E">
                    <w:rPr>
                      <w:rFonts w:ascii="Arial" w:hAnsi="Arial" w:cs="Arial"/>
                      <w:sz w:val="20"/>
                    </w:rPr>
                    <w:t>Each provider will maintain their own eligibility requirements, but at a minimum, will include</w:t>
                  </w:r>
                  <w:r w:rsidR="00A06D96" w:rsidRPr="0045757E">
                    <w:rPr>
                      <w:rFonts w:ascii="Arial" w:hAnsi="Arial" w:cs="Arial"/>
                      <w:sz w:val="20"/>
                    </w:rPr>
                    <w:t xml:space="preserve"> standards of Ryan White program</w:t>
                  </w:r>
                  <w:r w:rsidR="00D74E69" w:rsidRPr="0045757E">
                    <w:rPr>
                      <w:rFonts w:ascii="Arial" w:hAnsi="Arial" w:cs="Arial"/>
                      <w:sz w:val="20"/>
                    </w:rPr>
                    <w:t xml:space="preserve"> Recipient eligibility </w:t>
                  </w:r>
                  <w:r w:rsidR="002607A8" w:rsidRPr="0045757E">
                    <w:rPr>
                      <w:rFonts w:ascii="Arial" w:hAnsi="Arial" w:cs="Arial"/>
                      <w:sz w:val="20"/>
                    </w:rPr>
                    <w:t xml:space="preserve">per </w:t>
                  </w:r>
                  <w:r w:rsidR="002607A8" w:rsidRPr="0045757E">
                    <w:rPr>
                      <w:rFonts w:ascii="Arial" w:hAnsi="Arial" w:cs="Arial"/>
                      <w:sz w:val="20"/>
                    </w:rPr>
                    <w:t>Rule 64D-4, F.A.C.</w:t>
                  </w:r>
                </w:p>
              </w:tc>
            </w:tr>
            <w:tr w:rsidR="00F43561" w:rsidRPr="0045757E" w14:paraId="13AF9F7F" w14:textId="77777777" w:rsidTr="00B23F9C">
              <w:tblPrEx>
                <w:tblCellMar>
                  <w:top w:w="0" w:type="dxa"/>
                  <w:bottom w:w="0" w:type="dxa"/>
                </w:tblCellMar>
              </w:tblPrEx>
              <w:tc>
                <w:tcPr>
                  <w:tcW w:w="4860" w:type="dxa"/>
                </w:tcPr>
                <w:p w14:paraId="0D168105" w14:textId="635D1FA8" w:rsidR="00F43561" w:rsidRPr="0045757E" w:rsidRDefault="00421CB7" w:rsidP="005901C7">
                  <w:pPr>
                    <w:numPr>
                      <w:ilvl w:val="0"/>
                      <w:numId w:val="7"/>
                    </w:numPr>
                    <w:tabs>
                      <w:tab w:val="clear" w:pos="1080"/>
                      <w:tab w:val="num" w:pos="432"/>
                    </w:tabs>
                    <w:spacing w:after="0" w:line="240" w:lineRule="auto"/>
                    <w:ind w:left="432" w:hanging="360"/>
                    <w:rPr>
                      <w:rFonts w:ascii="Arial" w:hAnsi="Arial" w:cs="Arial"/>
                      <w:sz w:val="20"/>
                    </w:rPr>
                  </w:pPr>
                  <w:r w:rsidRPr="0045757E">
                    <w:rPr>
                      <w:rFonts w:ascii="Arial" w:hAnsi="Arial" w:cs="Arial"/>
                      <w:sz w:val="20"/>
                    </w:rPr>
                    <w:t>Personnel Qualifications</w:t>
                  </w:r>
                </w:p>
              </w:tc>
              <w:tc>
                <w:tcPr>
                  <w:tcW w:w="4608" w:type="dxa"/>
                </w:tcPr>
                <w:p w14:paraId="33606280" w14:textId="757D1C16" w:rsidR="00F43561" w:rsidRPr="0045757E" w:rsidRDefault="00421CB7" w:rsidP="005901C7">
                  <w:pPr>
                    <w:numPr>
                      <w:ilvl w:val="0"/>
                      <w:numId w:val="6"/>
                    </w:numPr>
                    <w:tabs>
                      <w:tab w:val="clear" w:pos="1080"/>
                      <w:tab w:val="num" w:pos="295"/>
                    </w:tabs>
                    <w:spacing w:after="0" w:line="240" w:lineRule="auto"/>
                    <w:ind w:left="280" w:hanging="280"/>
                    <w:rPr>
                      <w:rFonts w:ascii="Arial" w:hAnsi="Arial" w:cs="Arial"/>
                      <w:sz w:val="20"/>
                    </w:rPr>
                  </w:pPr>
                  <w:r w:rsidRPr="0045757E">
                    <w:rPr>
                      <w:rFonts w:ascii="Arial" w:hAnsi="Arial" w:cs="Arial"/>
                      <w:sz w:val="20"/>
                    </w:rPr>
                    <w:t>Health Resources and Services Administration (HRSA)</w:t>
                  </w:r>
                  <w:r w:rsidR="009743DC" w:rsidRPr="0045757E">
                    <w:rPr>
                      <w:rFonts w:ascii="Arial" w:hAnsi="Arial" w:cs="Arial"/>
                      <w:sz w:val="20"/>
                    </w:rPr>
                    <w:t xml:space="preserve"> personnel qualifications</w:t>
                  </w:r>
                  <w:r w:rsidR="00AD5831" w:rsidRPr="0045757E">
                    <w:rPr>
                      <w:rFonts w:ascii="Arial" w:hAnsi="Arial" w:cs="Arial"/>
                      <w:sz w:val="20"/>
                    </w:rPr>
                    <w:t>,</w:t>
                  </w:r>
                  <w:r w:rsidR="009743DC" w:rsidRPr="0045757E">
                    <w:rPr>
                      <w:rFonts w:ascii="Arial" w:hAnsi="Arial" w:cs="Arial"/>
                      <w:sz w:val="20"/>
                    </w:rPr>
                    <w:t xml:space="preserve"> per Health and Human Services (HHS) standard</w:t>
                  </w:r>
                  <w:r w:rsidR="00AD5831" w:rsidRPr="0045757E">
                    <w:rPr>
                      <w:rFonts w:ascii="Arial" w:hAnsi="Arial" w:cs="Arial"/>
                      <w:sz w:val="20"/>
                    </w:rPr>
                    <w:t>, must be trained according to their license</w:t>
                  </w:r>
                  <w:r w:rsidR="002609A4" w:rsidRPr="0045757E">
                    <w:rPr>
                      <w:rFonts w:ascii="Arial" w:hAnsi="Arial" w:cs="Arial"/>
                      <w:sz w:val="20"/>
                    </w:rPr>
                    <w:t xml:space="preserve"> </w:t>
                  </w:r>
                  <w:r w:rsidR="00AD5831" w:rsidRPr="0045757E">
                    <w:rPr>
                      <w:rFonts w:ascii="Arial" w:hAnsi="Arial" w:cs="Arial"/>
                      <w:sz w:val="20"/>
                    </w:rPr>
                    <w:t>requirement</w:t>
                  </w:r>
                  <w:r w:rsidR="002609A4" w:rsidRPr="0045757E">
                    <w:rPr>
                      <w:rFonts w:ascii="Arial" w:hAnsi="Arial" w:cs="Arial"/>
                      <w:sz w:val="20"/>
                    </w:rPr>
                    <w:t xml:space="preserve"> per Florida’s Administration Scope of Practice</w:t>
                  </w:r>
                </w:p>
              </w:tc>
            </w:tr>
            <w:tr w:rsidR="00F43561" w:rsidRPr="0045757E" w14:paraId="4121351A" w14:textId="77777777" w:rsidTr="00B23F9C">
              <w:tblPrEx>
                <w:tblCellMar>
                  <w:top w:w="0" w:type="dxa"/>
                  <w:bottom w:w="0" w:type="dxa"/>
                </w:tblCellMar>
              </w:tblPrEx>
              <w:tc>
                <w:tcPr>
                  <w:tcW w:w="4860" w:type="dxa"/>
                </w:tcPr>
                <w:p w14:paraId="53D07798" w14:textId="1F01E923" w:rsidR="00F43561" w:rsidRPr="0045757E" w:rsidRDefault="00DB70BC" w:rsidP="005901C7">
                  <w:pPr>
                    <w:numPr>
                      <w:ilvl w:val="0"/>
                      <w:numId w:val="7"/>
                    </w:numPr>
                    <w:tabs>
                      <w:tab w:val="clear" w:pos="1080"/>
                      <w:tab w:val="num" w:pos="432"/>
                    </w:tabs>
                    <w:spacing w:after="0" w:line="240" w:lineRule="auto"/>
                    <w:ind w:left="432" w:hanging="360"/>
                    <w:rPr>
                      <w:rFonts w:ascii="Arial" w:hAnsi="Arial" w:cs="Arial"/>
                      <w:sz w:val="20"/>
                    </w:rPr>
                  </w:pPr>
                  <w:r w:rsidRPr="0045757E">
                    <w:rPr>
                      <w:rFonts w:ascii="Arial" w:hAnsi="Arial" w:cs="Arial"/>
                      <w:sz w:val="20"/>
                    </w:rPr>
                    <w:t>Transition &amp; Discharge</w:t>
                  </w:r>
                </w:p>
              </w:tc>
              <w:tc>
                <w:tcPr>
                  <w:tcW w:w="4608" w:type="dxa"/>
                </w:tcPr>
                <w:p w14:paraId="004F1D2F" w14:textId="77777777" w:rsidR="00F43561" w:rsidRPr="0045757E" w:rsidRDefault="00302797" w:rsidP="005901C7">
                  <w:pPr>
                    <w:numPr>
                      <w:ilvl w:val="0"/>
                      <w:numId w:val="6"/>
                    </w:numPr>
                    <w:tabs>
                      <w:tab w:val="clear" w:pos="1080"/>
                      <w:tab w:val="num" w:pos="295"/>
                    </w:tabs>
                    <w:spacing w:after="0" w:line="240" w:lineRule="auto"/>
                    <w:ind w:left="280" w:hanging="280"/>
                    <w:rPr>
                      <w:rFonts w:ascii="Arial" w:hAnsi="Arial" w:cs="Arial"/>
                      <w:sz w:val="20"/>
                    </w:rPr>
                  </w:pPr>
                  <w:r w:rsidRPr="0045757E">
                    <w:rPr>
                      <w:rFonts w:ascii="Arial" w:hAnsi="Arial" w:cs="Arial"/>
                      <w:sz w:val="20"/>
                    </w:rPr>
                    <w:t>Transition and discharge of services s</w:t>
                  </w:r>
                  <w:r w:rsidR="00DB70BC" w:rsidRPr="0045757E">
                    <w:rPr>
                      <w:rFonts w:ascii="Arial" w:hAnsi="Arial" w:cs="Arial"/>
                      <w:sz w:val="20"/>
                    </w:rPr>
                    <w:t xml:space="preserve">hould include </w:t>
                  </w:r>
                  <w:r w:rsidRPr="0045757E">
                    <w:rPr>
                      <w:rFonts w:ascii="Arial" w:hAnsi="Arial" w:cs="Arial"/>
                      <w:sz w:val="20"/>
                    </w:rPr>
                    <w:t xml:space="preserve">a </w:t>
                  </w:r>
                  <w:r w:rsidR="00DB70BC" w:rsidRPr="0045757E">
                    <w:rPr>
                      <w:rFonts w:ascii="Arial" w:hAnsi="Arial" w:cs="Arial"/>
                      <w:sz w:val="20"/>
                    </w:rPr>
                    <w:t>written linkage plan</w:t>
                  </w:r>
                  <w:r w:rsidRPr="0045757E">
                    <w:rPr>
                      <w:rFonts w:ascii="Arial" w:hAnsi="Arial" w:cs="Arial"/>
                      <w:sz w:val="20"/>
                    </w:rPr>
                    <w:t xml:space="preserve"> maintained by each agency</w:t>
                  </w:r>
                  <w:r w:rsidR="00596E68" w:rsidRPr="0045757E">
                    <w:rPr>
                      <w:rFonts w:ascii="Arial" w:hAnsi="Arial" w:cs="Arial"/>
                      <w:sz w:val="20"/>
                    </w:rPr>
                    <w:t xml:space="preserve"> and must include a list of providers available within </w:t>
                  </w:r>
                  <w:r w:rsidR="00871EFB" w:rsidRPr="0045757E">
                    <w:rPr>
                      <w:rFonts w:ascii="Arial" w:hAnsi="Arial" w:cs="Arial"/>
                      <w:sz w:val="20"/>
                    </w:rPr>
                    <w:t>a client’s</w:t>
                  </w:r>
                  <w:r w:rsidR="00596E68" w:rsidRPr="0045757E">
                    <w:rPr>
                      <w:rFonts w:ascii="Arial" w:hAnsi="Arial" w:cs="Arial"/>
                      <w:sz w:val="20"/>
                    </w:rPr>
                    <w:t xml:space="preserve"> place of residence</w:t>
                  </w:r>
                  <w:r w:rsidR="00871EFB" w:rsidRPr="0045757E">
                    <w:rPr>
                      <w:rFonts w:ascii="Arial" w:hAnsi="Arial" w:cs="Arial"/>
                      <w:sz w:val="20"/>
                    </w:rPr>
                    <w:t>. Client’s must be provided with their proof of status</w:t>
                  </w:r>
                  <w:r w:rsidR="00CE099C" w:rsidRPr="0045757E">
                    <w:rPr>
                      <w:rFonts w:ascii="Arial" w:hAnsi="Arial" w:cs="Arial"/>
                      <w:sz w:val="20"/>
                    </w:rPr>
                    <w:t>, most recent proof of Ryan White eligibility, and their most recent labs.</w:t>
                  </w:r>
                </w:p>
                <w:p w14:paraId="2998776E" w14:textId="77777777" w:rsidR="00CD6299" w:rsidRPr="0045757E" w:rsidRDefault="00CD6299" w:rsidP="00CD6299">
                  <w:pPr>
                    <w:spacing w:after="0" w:line="240" w:lineRule="auto"/>
                    <w:rPr>
                      <w:rFonts w:ascii="Arial" w:hAnsi="Arial" w:cs="Arial"/>
                      <w:sz w:val="20"/>
                    </w:rPr>
                  </w:pPr>
                </w:p>
                <w:p w14:paraId="7F88E0B3" w14:textId="13E74201" w:rsidR="00CD6299" w:rsidRPr="0045757E" w:rsidRDefault="00CD6299" w:rsidP="00CD6299">
                  <w:pPr>
                    <w:spacing w:after="0" w:line="240" w:lineRule="auto"/>
                    <w:ind w:left="280"/>
                    <w:rPr>
                      <w:rFonts w:ascii="Arial" w:hAnsi="Arial" w:cs="Arial"/>
                      <w:sz w:val="20"/>
                    </w:rPr>
                  </w:pPr>
                  <w:r w:rsidRPr="0045757E">
                    <w:rPr>
                      <w:rFonts w:ascii="Arial" w:hAnsi="Arial" w:cs="Arial"/>
                      <w:sz w:val="20"/>
                    </w:rPr>
                    <w:t xml:space="preserve">Pediatric client files will be kept open for three (3) months </w:t>
                  </w:r>
                  <w:r w:rsidR="008142DA" w:rsidRPr="0045757E">
                    <w:rPr>
                      <w:rFonts w:ascii="Arial" w:hAnsi="Arial" w:cs="Arial"/>
                      <w:sz w:val="20"/>
                    </w:rPr>
                    <w:t>and</w:t>
                  </w:r>
                  <w:r w:rsidR="00B061BC" w:rsidRPr="0045757E">
                    <w:rPr>
                      <w:rFonts w:ascii="Arial" w:hAnsi="Arial" w:cs="Arial"/>
                      <w:sz w:val="20"/>
                    </w:rPr>
                    <w:t xml:space="preserve"> will be considered a successful transition if seen twice by a provider</w:t>
                  </w:r>
                  <w:r w:rsidR="008142DA" w:rsidRPr="0045757E">
                    <w:rPr>
                      <w:rFonts w:ascii="Arial" w:hAnsi="Arial" w:cs="Arial"/>
                      <w:sz w:val="20"/>
                    </w:rPr>
                    <w:t xml:space="preserve"> following transition of services. They must be provided </w:t>
                  </w:r>
                  <w:r w:rsidR="00936F27" w:rsidRPr="0045757E">
                    <w:rPr>
                      <w:rFonts w:ascii="Arial" w:hAnsi="Arial" w:cs="Arial"/>
                      <w:sz w:val="20"/>
                    </w:rPr>
                    <w:t>with their current prescriptions, all provider notes, and case manager</w:t>
                  </w:r>
                  <w:r w:rsidR="00436564" w:rsidRPr="0045757E">
                    <w:rPr>
                      <w:rFonts w:ascii="Arial" w:hAnsi="Arial" w:cs="Arial"/>
                      <w:sz w:val="20"/>
                    </w:rPr>
                    <w:t xml:space="preserve"> contact information.</w:t>
                  </w:r>
                </w:p>
              </w:tc>
            </w:tr>
            <w:tr w:rsidR="00F43561" w:rsidRPr="0045757E" w14:paraId="69CE3F49" w14:textId="77777777" w:rsidTr="00B23F9C">
              <w:tblPrEx>
                <w:tblCellMar>
                  <w:top w:w="0" w:type="dxa"/>
                  <w:bottom w:w="0" w:type="dxa"/>
                </w:tblCellMar>
              </w:tblPrEx>
              <w:tc>
                <w:tcPr>
                  <w:tcW w:w="4860" w:type="dxa"/>
                </w:tcPr>
                <w:p w14:paraId="5BEE28D2" w14:textId="4E17593B" w:rsidR="00F43561" w:rsidRPr="0045757E" w:rsidRDefault="00436564" w:rsidP="005901C7">
                  <w:pPr>
                    <w:numPr>
                      <w:ilvl w:val="0"/>
                      <w:numId w:val="7"/>
                    </w:numPr>
                    <w:tabs>
                      <w:tab w:val="clear" w:pos="1080"/>
                      <w:tab w:val="num" w:pos="432"/>
                    </w:tabs>
                    <w:spacing w:after="0" w:line="240" w:lineRule="auto"/>
                    <w:ind w:left="432" w:hanging="360"/>
                    <w:rPr>
                      <w:rFonts w:ascii="Arial" w:hAnsi="Arial" w:cs="Arial"/>
                      <w:sz w:val="20"/>
                    </w:rPr>
                  </w:pPr>
                  <w:r w:rsidRPr="0045757E">
                    <w:rPr>
                      <w:rFonts w:ascii="Arial" w:hAnsi="Arial" w:cs="Arial"/>
                      <w:sz w:val="20"/>
                    </w:rPr>
                    <w:t>Case Closure</w:t>
                  </w:r>
                </w:p>
              </w:tc>
              <w:tc>
                <w:tcPr>
                  <w:tcW w:w="4608" w:type="dxa"/>
                </w:tcPr>
                <w:p w14:paraId="1086B716" w14:textId="77777777" w:rsidR="00F43561" w:rsidRPr="0045757E" w:rsidRDefault="00436564" w:rsidP="005901C7">
                  <w:pPr>
                    <w:numPr>
                      <w:ilvl w:val="0"/>
                      <w:numId w:val="6"/>
                    </w:numPr>
                    <w:tabs>
                      <w:tab w:val="clear" w:pos="1080"/>
                      <w:tab w:val="num" w:pos="295"/>
                    </w:tabs>
                    <w:spacing w:after="0" w:line="240" w:lineRule="auto"/>
                    <w:ind w:left="280" w:hanging="280"/>
                    <w:rPr>
                      <w:rFonts w:ascii="Arial" w:hAnsi="Arial" w:cs="Arial"/>
                      <w:sz w:val="20"/>
                    </w:rPr>
                  </w:pPr>
                  <w:r w:rsidRPr="0045757E">
                    <w:rPr>
                      <w:rFonts w:ascii="Arial" w:hAnsi="Arial" w:cs="Arial"/>
                      <w:sz w:val="20"/>
                    </w:rPr>
                    <w:t>Adult client</w:t>
                  </w:r>
                  <w:r w:rsidR="00D47C50" w:rsidRPr="0045757E">
                    <w:rPr>
                      <w:rFonts w:ascii="Arial" w:hAnsi="Arial" w:cs="Arial"/>
                      <w:sz w:val="20"/>
                    </w:rPr>
                    <w:t xml:space="preserve"> cases will only be closed upon death of a permanent discharge from the clinic.</w:t>
                  </w:r>
                </w:p>
                <w:p w14:paraId="473EC40D" w14:textId="77777777" w:rsidR="00D47C50" w:rsidRPr="0045757E" w:rsidRDefault="00D47C50" w:rsidP="00D47C50">
                  <w:pPr>
                    <w:spacing w:after="0" w:line="240" w:lineRule="auto"/>
                    <w:rPr>
                      <w:rFonts w:ascii="Arial" w:hAnsi="Arial" w:cs="Arial"/>
                      <w:sz w:val="20"/>
                    </w:rPr>
                  </w:pPr>
                </w:p>
                <w:p w14:paraId="2D7039DB" w14:textId="77777777" w:rsidR="00D47C50" w:rsidRPr="0045757E" w:rsidRDefault="00D47C50" w:rsidP="00D47C50">
                  <w:pPr>
                    <w:spacing w:after="0" w:line="240" w:lineRule="auto"/>
                    <w:ind w:left="280"/>
                    <w:rPr>
                      <w:rFonts w:ascii="Arial" w:hAnsi="Arial" w:cs="Arial"/>
                      <w:sz w:val="20"/>
                    </w:rPr>
                  </w:pPr>
                  <w:r w:rsidRPr="0045757E">
                    <w:rPr>
                      <w:rFonts w:ascii="Arial" w:hAnsi="Arial" w:cs="Arial"/>
                      <w:sz w:val="20"/>
                    </w:rPr>
                    <w:t>Pediatric client</w:t>
                  </w:r>
                  <w:r w:rsidR="0050089A" w:rsidRPr="0045757E">
                    <w:rPr>
                      <w:rFonts w:ascii="Arial" w:hAnsi="Arial" w:cs="Arial"/>
                      <w:sz w:val="20"/>
                    </w:rPr>
                    <w:t xml:space="preserve"> cases will be closed after one (1) year without successful client contact</w:t>
                  </w:r>
                  <w:r w:rsidR="004A4157" w:rsidRPr="0045757E">
                    <w:rPr>
                      <w:rFonts w:ascii="Arial" w:hAnsi="Arial" w:cs="Arial"/>
                      <w:sz w:val="20"/>
                    </w:rPr>
                    <w:t xml:space="preserve"> or upon successful transition to adult care.</w:t>
                  </w:r>
                </w:p>
                <w:p w14:paraId="50D99421" w14:textId="77777777" w:rsidR="004A4157" w:rsidRPr="0045757E" w:rsidRDefault="004A4157" w:rsidP="00D47C50">
                  <w:pPr>
                    <w:spacing w:after="0" w:line="240" w:lineRule="auto"/>
                    <w:ind w:left="280"/>
                    <w:rPr>
                      <w:rFonts w:ascii="Arial" w:hAnsi="Arial" w:cs="Arial"/>
                      <w:sz w:val="20"/>
                    </w:rPr>
                  </w:pPr>
                </w:p>
                <w:p w14:paraId="5AA0E717" w14:textId="49886020" w:rsidR="004A4157" w:rsidRPr="0045757E" w:rsidRDefault="006F1E56" w:rsidP="00D47C50">
                  <w:pPr>
                    <w:spacing w:after="0" w:line="240" w:lineRule="auto"/>
                    <w:ind w:left="280"/>
                    <w:rPr>
                      <w:rFonts w:ascii="Arial" w:hAnsi="Arial" w:cs="Arial"/>
                      <w:sz w:val="20"/>
                    </w:rPr>
                  </w:pPr>
                  <w:r w:rsidRPr="0045757E">
                    <w:rPr>
                      <w:rFonts w:ascii="Arial" w:hAnsi="Arial" w:cs="Arial"/>
                      <w:sz w:val="20"/>
                    </w:rPr>
                    <w:t xml:space="preserve">Providers must </w:t>
                  </w:r>
                  <w:r w:rsidR="00F81DDC" w:rsidRPr="0045757E">
                    <w:rPr>
                      <w:rFonts w:ascii="Arial" w:hAnsi="Arial" w:cs="Arial"/>
                      <w:sz w:val="20"/>
                    </w:rPr>
                    <w:t>also maintain</w:t>
                  </w:r>
                  <w:r w:rsidRPr="0045757E">
                    <w:rPr>
                      <w:rFonts w:ascii="Arial" w:hAnsi="Arial" w:cs="Arial"/>
                      <w:sz w:val="20"/>
                    </w:rPr>
                    <w:t xml:space="preserve"> agency-specific</w:t>
                  </w:r>
                  <w:r w:rsidR="0049764A" w:rsidRPr="0045757E">
                    <w:rPr>
                      <w:rFonts w:ascii="Arial" w:hAnsi="Arial" w:cs="Arial"/>
                      <w:sz w:val="20"/>
                    </w:rPr>
                    <w:t xml:space="preserve"> guidelines and must </w:t>
                  </w:r>
                  <w:r w:rsidR="00F81DDC" w:rsidRPr="0045757E">
                    <w:rPr>
                      <w:rFonts w:ascii="Arial" w:hAnsi="Arial" w:cs="Arial"/>
                      <w:sz w:val="20"/>
                    </w:rPr>
                    <w:t>include</w:t>
                  </w:r>
                  <w:r w:rsidR="0049764A" w:rsidRPr="0045757E">
                    <w:rPr>
                      <w:rFonts w:ascii="Arial" w:hAnsi="Arial" w:cs="Arial"/>
                      <w:sz w:val="20"/>
                    </w:rPr>
                    <w:t xml:space="preserve"> the date and reasons for case closure.</w:t>
                  </w:r>
                </w:p>
              </w:tc>
            </w:tr>
            <w:tr w:rsidR="00F43561" w:rsidRPr="0045757E" w14:paraId="02EE0032" w14:textId="77777777" w:rsidTr="00B23F9C">
              <w:tblPrEx>
                <w:tblCellMar>
                  <w:top w:w="0" w:type="dxa"/>
                  <w:bottom w:w="0" w:type="dxa"/>
                </w:tblCellMar>
              </w:tblPrEx>
              <w:tc>
                <w:tcPr>
                  <w:tcW w:w="4860" w:type="dxa"/>
                </w:tcPr>
                <w:p w14:paraId="3CBB357A" w14:textId="4E7485EE" w:rsidR="00F43561" w:rsidRPr="0045757E" w:rsidRDefault="00672791" w:rsidP="005901C7">
                  <w:pPr>
                    <w:numPr>
                      <w:ilvl w:val="0"/>
                      <w:numId w:val="7"/>
                    </w:numPr>
                    <w:tabs>
                      <w:tab w:val="clear" w:pos="1080"/>
                      <w:tab w:val="num" w:pos="432"/>
                    </w:tabs>
                    <w:spacing w:after="0" w:line="240" w:lineRule="auto"/>
                    <w:ind w:left="432" w:hanging="360"/>
                    <w:rPr>
                      <w:rFonts w:ascii="Arial" w:hAnsi="Arial" w:cs="Arial"/>
                      <w:sz w:val="20"/>
                    </w:rPr>
                  </w:pPr>
                  <w:r w:rsidRPr="0045757E">
                    <w:rPr>
                      <w:rFonts w:ascii="Arial" w:hAnsi="Arial" w:cs="Arial"/>
                      <w:sz w:val="20"/>
                    </w:rPr>
                    <w:t xml:space="preserve">Client Rights &amp; Responsibilities </w:t>
                  </w:r>
                </w:p>
              </w:tc>
              <w:tc>
                <w:tcPr>
                  <w:tcW w:w="4608" w:type="dxa"/>
                </w:tcPr>
                <w:p w14:paraId="74FF585E" w14:textId="6BC25821" w:rsidR="00F43561" w:rsidRPr="0045757E" w:rsidRDefault="00672791" w:rsidP="005901C7">
                  <w:pPr>
                    <w:numPr>
                      <w:ilvl w:val="0"/>
                      <w:numId w:val="6"/>
                    </w:numPr>
                    <w:tabs>
                      <w:tab w:val="clear" w:pos="1080"/>
                      <w:tab w:val="num" w:pos="295"/>
                    </w:tabs>
                    <w:spacing w:after="0" w:line="240" w:lineRule="auto"/>
                    <w:ind w:left="280" w:hanging="280"/>
                    <w:rPr>
                      <w:rFonts w:ascii="Arial" w:hAnsi="Arial" w:cs="Arial"/>
                      <w:sz w:val="20"/>
                    </w:rPr>
                  </w:pPr>
                  <w:r w:rsidRPr="0045757E">
                    <w:rPr>
                      <w:rFonts w:ascii="Arial" w:hAnsi="Arial" w:cs="Arial"/>
                      <w:sz w:val="20"/>
                    </w:rPr>
                    <w:t>Each agency must maintain their own client rights and responsibilities protocols and document</w:t>
                  </w:r>
                  <w:r w:rsidR="00C12414" w:rsidRPr="0045757E">
                    <w:rPr>
                      <w:rFonts w:ascii="Arial" w:hAnsi="Arial" w:cs="Arial"/>
                      <w:sz w:val="20"/>
                    </w:rPr>
                    <w:t xml:space="preserve">ation. Protocols and </w:t>
                  </w:r>
                  <w:r w:rsidR="00C12414" w:rsidRPr="0045757E">
                    <w:rPr>
                      <w:rFonts w:ascii="Arial" w:hAnsi="Arial" w:cs="Arial"/>
                      <w:sz w:val="20"/>
                    </w:rPr>
                    <w:lastRenderedPageBreak/>
                    <w:t>documents must be made available upon Recipient request</w:t>
                  </w:r>
                  <w:r w:rsidR="0048631A" w:rsidRPr="0045757E">
                    <w:rPr>
                      <w:rFonts w:ascii="Arial" w:hAnsi="Arial" w:cs="Arial"/>
                      <w:sz w:val="20"/>
                    </w:rPr>
                    <w:t xml:space="preserve"> and displayed publicly.</w:t>
                  </w:r>
                </w:p>
              </w:tc>
            </w:tr>
            <w:tr w:rsidR="0048631A" w:rsidRPr="0045757E" w14:paraId="35B08EE6" w14:textId="77777777" w:rsidTr="00B23F9C">
              <w:tblPrEx>
                <w:tblCellMar>
                  <w:top w:w="0" w:type="dxa"/>
                  <w:bottom w:w="0" w:type="dxa"/>
                </w:tblCellMar>
              </w:tblPrEx>
              <w:tc>
                <w:tcPr>
                  <w:tcW w:w="4860" w:type="dxa"/>
                </w:tcPr>
                <w:p w14:paraId="0A1385EE" w14:textId="290C3408" w:rsidR="0048631A" w:rsidRPr="0045757E" w:rsidRDefault="0048631A" w:rsidP="005901C7">
                  <w:pPr>
                    <w:numPr>
                      <w:ilvl w:val="0"/>
                      <w:numId w:val="7"/>
                    </w:numPr>
                    <w:tabs>
                      <w:tab w:val="clear" w:pos="1080"/>
                      <w:tab w:val="num" w:pos="432"/>
                    </w:tabs>
                    <w:spacing w:after="0" w:line="240" w:lineRule="auto"/>
                    <w:ind w:left="432" w:hanging="360"/>
                    <w:rPr>
                      <w:rFonts w:ascii="Arial" w:hAnsi="Arial" w:cs="Arial"/>
                      <w:sz w:val="20"/>
                    </w:rPr>
                  </w:pPr>
                  <w:r w:rsidRPr="0045757E">
                    <w:rPr>
                      <w:rFonts w:ascii="Arial" w:hAnsi="Arial" w:cs="Arial"/>
                      <w:sz w:val="20"/>
                    </w:rPr>
                    <w:lastRenderedPageBreak/>
                    <w:t>Grievance Process</w:t>
                  </w:r>
                </w:p>
              </w:tc>
              <w:tc>
                <w:tcPr>
                  <w:tcW w:w="4608" w:type="dxa"/>
                </w:tcPr>
                <w:p w14:paraId="2A05A5A6" w14:textId="594CDD3D" w:rsidR="0048631A" w:rsidRPr="0045757E" w:rsidRDefault="0048631A" w:rsidP="005901C7">
                  <w:pPr>
                    <w:numPr>
                      <w:ilvl w:val="0"/>
                      <w:numId w:val="6"/>
                    </w:numPr>
                    <w:tabs>
                      <w:tab w:val="clear" w:pos="1080"/>
                      <w:tab w:val="num" w:pos="295"/>
                    </w:tabs>
                    <w:spacing w:after="0" w:line="240" w:lineRule="auto"/>
                    <w:ind w:left="280" w:hanging="280"/>
                    <w:rPr>
                      <w:rFonts w:ascii="Arial" w:hAnsi="Arial" w:cs="Arial"/>
                      <w:sz w:val="20"/>
                    </w:rPr>
                  </w:pPr>
                  <w:r w:rsidRPr="0045757E">
                    <w:rPr>
                      <w:rFonts w:ascii="Arial" w:hAnsi="Arial" w:cs="Arial"/>
                      <w:sz w:val="20"/>
                    </w:rPr>
                    <w:t>Each agency must maintain their own grievance processes</w:t>
                  </w:r>
                  <w:r w:rsidR="00DC46EC" w:rsidRPr="0045757E">
                    <w:rPr>
                      <w:rFonts w:ascii="Arial" w:hAnsi="Arial" w:cs="Arial"/>
                      <w:sz w:val="20"/>
                    </w:rPr>
                    <w:t xml:space="preserve"> and </w:t>
                  </w:r>
                  <w:r w:rsidR="00302A00" w:rsidRPr="0045757E">
                    <w:rPr>
                      <w:rFonts w:ascii="Arial" w:hAnsi="Arial" w:cs="Arial"/>
                      <w:sz w:val="20"/>
                    </w:rPr>
                    <w:t>made available to clients upon initiation of services.</w:t>
                  </w:r>
                </w:p>
              </w:tc>
            </w:tr>
          </w:tbl>
          <w:p w14:paraId="089E16A9" w14:textId="77777777" w:rsidR="00001CC4" w:rsidRPr="0045757E" w:rsidRDefault="00001CC4" w:rsidP="00D01527">
            <w:pPr>
              <w:pStyle w:val="BodyText2"/>
              <w:jc w:val="both"/>
            </w:pPr>
          </w:p>
          <w:p w14:paraId="24CAAFE5" w14:textId="77777777" w:rsidR="003706DA" w:rsidRPr="0045757E" w:rsidRDefault="00871560" w:rsidP="008C67F2">
            <w:pPr>
              <w:pStyle w:val="BodyText2"/>
              <w:jc w:val="both"/>
            </w:pPr>
            <w:r w:rsidRPr="0045757E">
              <w:t>Members ran out of time and</w:t>
            </w:r>
            <w:r w:rsidR="00926617" w:rsidRPr="0045757E">
              <w:t xml:space="preserve"> decided to </w:t>
            </w:r>
            <w:r w:rsidR="00187474" w:rsidRPr="0045757E">
              <w:t>finish</w:t>
            </w:r>
            <w:r w:rsidR="00926617" w:rsidRPr="0045757E">
              <w:t xml:space="preserve"> OAHS revisions at the</w:t>
            </w:r>
            <w:r w:rsidR="00187474" w:rsidRPr="0045757E">
              <w:t>ir</w:t>
            </w:r>
            <w:r w:rsidR="00926617" w:rsidRPr="0045757E">
              <w:t xml:space="preserve"> February </w:t>
            </w:r>
            <w:r w:rsidR="00187474" w:rsidRPr="0045757E">
              <w:t>13, 2020 and begin revisions to Medical Case Management (MCM)</w:t>
            </w:r>
            <w:r w:rsidR="006B3323" w:rsidRPr="0045757E">
              <w:t xml:space="preserve"> at that time. Member, Marylin Merida, offered to share Ryan White Part D’s grievance process protocol and guest, Peggy Wallace, offered</w:t>
            </w:r>
            <w:r w:rsidR="008F367A" w:rsidRPr="0045757E">
              <w:t xml:space="preserve"> to share BayCare’s case closure forms, with staff for distribution.</w:t>
            </w:r>
            <w:r w:rsidR="00710EF3" w:rsidRPr="0045757E">
              <w:t xml:space="preserve"> Arnold informed members that MCM providers will be informed of the revision schedule and their participation will be requested</w:t>
            </w:r>
            <w:r w:rsidR="00001CC4" w:rsidRPr="0045757E">
              <w:t xml:space="preserve"> for the February P&amp;E meeting.</w:t>
            </w:r>
          </w:p>
          <w:p w14:paraId="5E6DF257" w14:textId="5F6AF1CA" w:rsidR="00001CC4" w:rsidRPr="0045757E" w:rsidRDefault="00001CC4" w:rsidP="008C67F2">
            <w:pPr>
              <w:pStyle w:val="BodyText2"/>
              <w:jc w:val="both"/>
            </w:pPr>
          </w:p>
        </w:tc>
      </w:tr>
      <w:tr w:rsidR="005A3646" w:rsidRPr="00A956B6" w14:paraId="55A65582" w14:textId="77777777" w:rsidTr="00125F7D">
        <w:trPr>
          <w:trHeight w:val="351"/>
        </w:trPr>
        <w:tc>
          <w:tcPr>
            <w:tcW w:w="3804" w:type="dxa"/>
          </w:tcPr>
          <w:p w14:paraId="55A65579" w14:textId="77777777" w:rsidR="005A3646" w:rsidRPr="00F15FD4" w:rsidRDefault="005A3646" w:rsidP="005A3646">
            <w:pPr>
              <w:rPr>
                <w:rFonts w:ascii="Arial" w:hAnsi="Arial" w:cs="Arial"/>
                <w:b/>
                <w:color w:val="000000"/>
                <w:sz w:val="24"/>
              </w:rPr>
            </w:pPr>
            <w:r w:rsidRPr="00F15FD4">
              <w:rPr>
                <w:rFonts w:ascii="Arial" w:hAnsi="Arial" w:cs="Arial"/>
                <w:b/>
                <w:color w:val="000000"/>
                <w:sz w:val="24"/>
              </w:rPr>
              <w:lastRenderedPageBreak/>
              <w:t>CARE COUNCIL REPORT</w:t>
            </w:r>
          </w:p>
        </w:tc>
        <w:tc>
          <w:tcPr>
            <w:tcW w:w="6996" w:type="dxa"/>
          </w:tcPr>
          <w:p w14:paraId="55A65581" w14:textId="471FF45B" w:rsidR="005A3646" w:rsidRPr="00F15FD4" w:rsidRDefault="00C84EFF" w:rsidP="005A3646">
            <w:pPr>
              <w:pStyle w:val="BodyText2"/>
              <w:jc w:val="both"/>
            </w:pPr>
            <w:r w:rsidRPr="00F15FD4">
              <w:t>Care Council did not meet in January 2020.</w:t>
            </w:r>
          </w:p>
        </w:tc>
      </w:tr>
      <w:tr w:rsidR="00C81BF7" w:rsidRPr="00A956B6" w14:paraId="55A655A6" w14:textId="77777777" w:rsidTr="00125F7D">
        <w:trPr>
          <w:trHeight w:val="351"/>
        </w:trPr>
        <w:tc>
          <w:tcPr>
            <w:tcW w:w="3804" w:type="dxa"/>
          </w:tcPr>
          <w:p w14:paraId="55A655A2" w14:textId="78422C6C" w:rsidR="00C81BF7" w:rsidRPr="00F15FD4" w:rsidRDefault="00C81BF7" w:rsidP="00C81BF7">
            <w:pPr>
              <w:ind w:right="-54"/>
              <w:rPr>
                <w:rFonts w:ascii="Arial" w:hAnsi="Arial" w:cs="Arial"/>
                <w:b/>
                <w:color w:val="000000"/>
                <w:sz w:val="24"/>
                <w:szCs w:val="24"/>
              </w:rPr>
            </w:pPr>
            <w:r w:rsidRPr="00F15FD4">
              <w:rPr>
                <w:rFonts w:ascii="Arial" w:hAnsi="Arial" w:cs="Arial"/>
                <w:b/>
                <w:color w:val="000000"/>
                <w:sz w:val="24"/>
                <w:szCs w:val="24"/>
              </w:rPr>
              <w:t>COMMUNITY INPUT/ANNOUNCEMENTS</w:t>
            </w:r>
          </w:p>
        </w:tc>
        <w:tc>
          <w:tcPr>
            <w:tcW w:w="6996" w:type="dxa"/>
          </w:tcPr>
          <w:p w14:paraId="62CC60BB" w14:textId="4D5CB6E1" w:rsidR="00C84EFF" w:rsidRPr="00F15FD4" w:rsidRDefault="00C81BF7" w:rsidP="00C84EFF">
            <w:pPr>
              <w:pStyle w:val="BodyText2"/>
              <w:jc w:val="both"/>
              <w:rPr>
                <w:rFonts w:cs="Arial"/>
                <w:color w:val="000000"/>
                <w:szCs w:val="24"/>
              </w:rPr>
            </w:pPr>
            <w:r w:rsidRPr="00F15FD4">
              <w:rPr>
                <w:rFonts w:cs="Arial"/>
                <w:color w:val="000000"/>
                <w:szCs w:val="24"/>
              </w:rPr>
              <w:t xml:space="preserve"> </w:t>
            </w:r>
            <w:r w:rsidR="00F15FD4" w:rsidRPr="00F15FD4">
              <w:rPr>
                <w:rFonts w:cs="Arial"/>
                <w:color w:val="000000"/>
                <w:szCs w:val="24"/>
              </w:rPr>
              <w:t>None.</w:t>
            </w:r>
          </w:p>
          <w:p w14:paraId="55A655A5" w14:textId="0D983831" w:rsidR="006246F7" w:rsidRPr="00F15FD4" w:rsidRDefault="006246F7" w:rsidP="0056304C">
            <w:pPr>
              <w:pStyle w:val="BodyText2"/>
              <w:jc w:val="both"/>
              <w:rPr>
                <w:rFonts w:cs="Arial"/>
                <w:color w:val="000000"/>
                <w:szCs w:val="24"/>
              </w:rPr>
            </w:pPr>
          </w:p>
        </w:tc>
      </w:tr>
      <w:tr w:rsidR="00C81BF7" w:rsidRPr="008D4952" w14:paraId="55A655A9" w14:textId="77777777" w:rsidTr="00125F7D">
        <w:trPr>
          <w:trHeight w:val="351"/>
        </w:trPr>
        <w:tc>
          <w:tcPr>
            <w:tcW w:w="3804" w:type="dxa"/>
          </w:tcPr>
          <w:p w14:paraId="55A655A7" w14:textId="46542AC7" w:rsidR="00C81BF7" w:rsidRPr="00F15FD4" w:rsidRDefault="00C81BF7" w:rsidP="00C81BF7">
            <w:pPr>
              <w:ind w:right="-54"/>
              <w:rPr>
                <w:rFonts w:ascii="Arial" w:hAnsi="Arial" w:cs="Arial"/>
                <w:b/>
                <w:color w:val="000000"/>
                <w:sz w:val="24"/>
                <w:szCs w:val="24"/>
              </w:rPr>
            </w:pPr>
            <w:r w:rsidRPr="00F15FD4">
              <w:rPr>
                <w:rFonts w:ascii="Arial" w:hAnsi="Arial" w:cs="Arial"/>
                <w:b/>
                <w:color w:val="000000"/>
                <w:sz w:val="24"/>
                <w:szCs w:val="24"/>
              </w:rPr>
              <w:t xml:space="preserve">ADJOURNMENT </w:t>
            </w:r>
          </w:p>
        </w:tc>
        <w:tc>
          <w:tcPr>
            <w:tcW w:w="6996" w:type="dxa"/>
          </w:tcPr>
          <w:p w14:paraId="55A655A8" w14:textId="5EE1F0C1" w:rsidR="00C81BF7" w:rsidRPr="00F15FD4" w:rsidRDefault="00C81BF7" w:rsidP="00C81BF7">
            <w:pPr>
              <w:jc w:val="both"/>
              <w:rPr>
                <w:rFonts w:ascii="Arial" w:hAnsi="Arial" w:cs="Arial"/>
                <w:color w:val="000000"/>
                <w:sz w:val="24"/>
                <w:szCs w:val="24"/>
              </w:rPr>
            </w:pPr>
            <w:r w:rsidRPr="00F15FD4">
              <w:rPr>
                <w:rFonts w:ascii="Arial" w:hAnsi="Arial" w:cs="Arial"/>
                <w:color w:val="000000"/>
                <w:sz w:val="24"/>
                <w:szCs w:val="24"/>
              </w:rPr>
              <w:t xml:space="preserve">There being no further business to come before the Committee, the meeting was adjourned at </w:t>
            </w:r>
            <w:r w:rsidR="00A724CF" w:rsidRPr="00F15FD4">
              <w:rPr>
                <w:rFonts w:ascii="Arial" w:hAnsi="Arial" w:cs="Arial"/>
                <w:color w:val="000000"/>
                <w:sz w:val="24"/>
                <w:szCs w:val="24"/>
              </w:rPr>
              <w:t>11:0</w:t>
            </w:r>
            <w:r w:rsidR="00F15FD4" w:rsidRPr="00F15FD4">
              <w:rPr>
                <w:rFonts w:ascii="Arial" w:hAnsi="Arial" w:cs="Arial"/>
                <w:color w:val="000000"/>
                <w:sz w:val="24"/>
                <w:szCs w:val="24"/>
              </w:rPr>
              <w:t>5</w:t>
            </w:r>
            <w:r w:rsidRPr="00F15FD4">
              <w:rPr>
                <w:rFonts w:ascii="Arial" w:hAnsi="Arial" w:cs="Arial"/>
                <w:color w:val="000000"/>
                <w:sz w:val="24"/>
                <w:szCs w:val="24"/>
              </w:rPr>
              <w:t xml:space="preserve"> a.m.</w:t>
            </w:r>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6DC7"/>
    <w:rsid w:val="000002DC"/>
    <w:rsid w:val="00001CC4"/>
    <w:rsid w:val="00002C7F"/>
    <w:rsid w:val="0000474B"/>
    <w:rsid w:val="000057D6"/>
    <w:rsid w:val="00007EEF"/>
    <w:rsid w:val="0001189D"/>
    <w:rsid w:val="00015C3B"/>
    <w:rsid w:val="00025313"/>
    <w:rsid w:val="000264DB"/>
    <w:rsid w:val="000277D5"/>
    <w:rsid w:val="00036A14"/>
    <w:rsid w:val="00037A79"/>
    <w:rsid w:val="00042654"/>
    <w:rsid w:val="000442BE"/>
    <w:rsid w:val="000526DF"/>
    <w:rsid w:val="0005572E"/>
    <w:rsid w:val="00060C7F"/>
    <w:rsid w:val="00063EFB"/>
    <w:rsid w:val="00072769"/>
    <w:rsid w:val="00082725"/>
    <w:rsid w:val="00084DB9"/>
    <w:rsid w:val="00086FB5"/>
    <w:rsid w:val="00092CD8"/>
    <w:rsid w:val="0009421A"/>
    <w:rsid w:val="00097D76"/>
    <w:rsid w:val="000A38E0"/>
    <w:rsid w:val="000A3B91"/>
    <w:rsid w:val="000B2AA6"/>
    <w:rsid w:val="000B3747"/>
    <w:rsid w:val="000B761D"/>
    <w:rsid w:val="000C0595"/>
    <w:rsid w:val="000C18E4"/>
    <w:rsid w:val="000C56C8"/>
    <w:rsid w:val="000C6312"/>
    <w:rsid w:val="000D1A80"/>
    <w:rsid w:val="000D7F5C"/>
    <w:rsid w:val="000E514A"/>
    <w:rsid w:val="000F0FF3"/>
    <w:rsid w:val="000F3395"/>
    <w:rsid w:val="000F5EFA"/>
    <w:rsid w:val="00103E58"/>
    <w:rsid w:val="00103E93"/>
    <w:rsid w:val="00104272"/>
    <w:rsid w:val="001079F1"/>
    <w:rsid w:val="001108DE"/>
    <w:rsid w:val="00110A3D"/>
    <w:rsid w:val="00116D4D"/>
    <w:rsid w:val="00124323"/>
    <w:rsid w:val="00125F7D"/>
    <w:rsid w:val="00126670"/>
    <w:rsid w:val="00127B09"/>
    <w:rsid w:val="001316CE"/>
    <w:rsid w:val="00136D7B"/>
    <w:rsid w:val="00150F39"/>
    <w:rsid w:val="001515CF"/>
    <w:rsid w:val="00165661"/>
    <w:rsid w:val="00165CBB"/>
    <w:rsid w:val="00166D0B"/>
    <w:rsid w:val="00166D1B"/>
    <w:rsid w:val="0016748C"/>
    <w:rsid w:val="001701EC"/>
    <w:rsid w:val="00170284"/>
    <w:rsid w:val="001827F4"/>
    <w:rsid w:val="001832FD"/>
    <w:rsid w:val="00183C8E"/>
    <w:rsid w:val="00185F74"/>
    <w:rsid w:val="0018678D"/>
    <w:rsid w:val="00187474"/>
    <w:rsid w:val="0019447F"/>
    <w:rsid w:val="001958DD"/>
    <w:rsid w:val="00196828"/>
    <w:rsid w:val="001A270B"/>
    <w:rsid w:val="001A3388"/>
    <w:rsid w:val="001A36F9"/>
    <w:rsid w:val="001A390E"/>
    <w:rsid w:val="001A476B"/>
    <w:rsid w:val="001A5036"/>
    <w:rsid w:val="001A58B7"/>
    <w:rsid w:val="001A70CE"/>
    <w:rsid w:val="001B5A39"/>
    <w:rsid w:val="001B7F9D"/>
    <w:rsid w:val="001C4D09"/>
    <w:rsid w:val="001C78C2"/>
    <w:rsid w:val="001D1526"/>
    <w:rsid w:val="001D3111"/>
    <w:rsid w:val="001D59C9"/>
    <w:rsid w:val="001D6391"/>
    <w:rsid w:val="001E5778"/>
    <w:rsid w:val="001F1FD1"/>
    <w:rsid w:val="001F2D23"/>
    <w:rsid w:val="001F3BB1"/>
    <w:rsid w:val="001F57A0"/>
    <w:rsid w:val="001F620B"/>
    <w:rsid w:val="00200B1D"/>
    <w:rsid w:val="002011F0"/>
    <w:rsid w:val="002137C4"/>
    <w:rsid w:val="00217E61"/>
    <w:rsid w:val="00241C62"/>
    <w:rsid w:val="00243A7A"/>
    <w:rsid w:val="002508F2"/>
    <w:rsid w:val="00250F92"/>
    <w:rsid w:val="00256AF2"/>
    <w:rsid w:val="00257274"/>
    <w:rsid w:val="00260757"/>
    <w:rsid w:val="002607A8"/>
    <w:rsid w:val="002609A4"/>
    <w:rsid w:val="002647A9"/>
    <w:rsid w:val="002654E6"/>
    <w:rsid w:val="00266349"/>
    <w:rsid w:val="002753C1"/>
    <w:rsid w:val="00277D3A"/>
    <w:rsid w:val="002859BC"/>
    <w:rsid w:val="00293A3A"/>
    <w:rsid w:val="00294F53"/>
    <w:rsid w:val="0029525E"/>
    <w:rsid w:val="0029650A"/>
    <w:rsid w:val="002A115E"/>
    <w:rsid w:val="002A135E"/>
    <w:rsid w:val="002A1E0D"/>
    <w:rsid w:val="002A21E8"/>
    <w:rsid w:val="002A2B2C"/>
    <w:rsid w:val="002A467A"/>
    <w:rsid w:val="002B58AB"/>
    <w:rsid w:val="002B612E"/>
    <w:rsid w:val="002C516C"/>
    <w:rsid w:val="002D0032"/>
    <w:rsid w:val="002D0AD0"/>
    <w:rsid w:val="002D457D"/>
    <w:rsid w:val="002D6855"/>
    <w:rsid w:val="002E19F3"/>
    <w:rsid w:val="002E3244"/>
    <w:rsid w:val="002E4CD0"/>
    <w:rsid w:val="002E79AC"/>
    <w:rsid w:val="002E7A9E"/>
    <w:rsid w:val="002F62CF"/>
    <w:rsid w:val="00302797"/>
    <w:rsid w:val="00302A00"/>
    <w:rsid w:val="0031131F"/>
    <w:rsid w:val="00312990"/>
    <w:rsid w:val="00313D46"/>
    <w:rsid w:val="00317755"/>
    <w:rsid w:val="00317891"/>
    <w:rsid w:val="00320C02"/>
    <w:rsid w:val="00321F6E"/>
    <w:rsid w:val="0032581A"/>
    <w:rsid w:val="00325B0F"/>
    <w:rsid w:val="0032799C"/>
    <w:rsid w:val="00343920"/>
    <w:rsid w:val="00344C02"/>
    <w:rsid w:val="0034516A"/>
    <w:rsid w:val="00350607"/>
    <w:rsid w:val="00351A37"/>
    <w:rsid w:val="00355F73"/>
    <w:rsid w:val="00360FBD"/>
    <w:rsid w:val="00363E5D"/>
    <w:rsid w:val="003706DA"/>
    <w:rsid w:val="00374A93"/>
    <w:rsid w:val="00374E43"/>
    <w:rsid w:val="003866CF"/>
    <w:rsid w:val="003948AF"/>
    <w:rsid w:val="00397C78"/>
    <w:rsid w:val="003A4961"/>
    <w:rsid w:val="003A4A6B"/>
    <w:rsid w:val="003B6C6F"/>
    <w:rsid w:val="003C33F2"/>
    <w:rsid w:val="003C4F5C"/>
    <w:rsid w:val="003C5395"/>
    <w:rsid w:val="003D23BF"/>
    <w:rsid w:val="003D243D"/>
    <w:rsid w:val="003D4667"/>
    <w:rsid w:val="003E11A6"/>
    <w:rsid w:val="003F4018"/>
    <w:rsid w:val="003F48C4"/>
    <w:rsid w:val="003F547B"/>
    <w:rsid w:val="00401051"/>
    <w:rsid w:val="00403107"/>
    <w:rsid w:val="004039D5"/>
    <w:rsid w:val="00410A22"/>
    <w:rsid w:val="0041323E"/>
    <w:rsid w:val="0041491D"/>
    <w:rsid w:val="004170D0"/>
    <w:rsid w:val="00421207"/>
    <w:rsid w:val="00421CB7"/>
    <w:rsid w:val="004225FE"/>
    <w:rsid w:val="00423AEE"/>
    <w:rsid w:val="0042479B"/>
    <w:rsid w:val="004260E6"/>
    <w:rsid w:val="00436564"/>
    <w:rsid w:val="00437165"/>
    <w:rsid w:val="004372FB"/>
    <w:rsid w:val="00454758"/>
    <w:rsid w:val="004563B0"/>
    <w:rsid w:val="004569F0"/>
    <w:rsid w:val="0045757E"/>
    <w:rsid w:val="00460361"/>
    <w:rsid w:val="004775E8"/>
    <w:rsid w:val="004845E3"/>
    <w:rsid w:val="0048631A"/>
    <w:rsid w:val="00487636"/>
    <w:rsid w:val="00493485"/>
    <w:rsid w:val="00493620"/>
    <w:rsid w:val="0049764A"/>
    <w:rsid w:val="00497754"/>
    <w:rsid w:val="004A412F"/>
    <w:rsid w:val="004A4157"/>
    <w:rsid w:val="004B0330"/>
    <w:rsid w:val="004B0C40"/>
    <w:rsid w:val="004B2E0F"/>
    <w:rsid w:val="004B64E7"/>
    <w:rsid w:val="004C3590"/>
    <w:rsid w:val="004C412E"/>
    <w:rsid w:val="004C770A"/>
    <w:rsid w:val="004D0509"/>
    <w:rsid w:val="004D155D"/>
    <w:rsid w:val="004D19E9"/>
    <w:rsid w:val="004D3394"/>
    <w:rsid w:val="004D4377"/>
    <w:rsid w:val="004D5769"/>
    <w:rsid w:val="004D757E"/>
    <w:rsid w:val="004D761C"/>
    <w:rsid w:val="004E15CD"/>
    <w:rsid w:val="004E2AEB"/>
    <w:rsid w:val="004F1AA5"/>
    <w:rsid w:val="004F5DE4"/>
    <w:rsid w:val="004F7D36"/>
    <w:rsid w:val="0050089A"/>
    <w:rsid w:val="005029F1"/>
    <w:rsid w:val="00507896"/>
    <w:rsid w:val="005132BA"/>
    <w:rsid w:val="005159F7"/>
    <w:rsid w:val="00524802"/>
    <w:rsid w:val="00527900"/>
    <w:rsid w:val="00527A3F"/>
    <w:rsid w:val="00531DE1"/>
    <w:rsid w:val="00534DE7"/>
    <w:rsid w:val="00536F55"/>
    <w:rsid w:val="005450CE"/>
    <w:rsid w:val="005470C8"/>
    <w:rsid w:val="00553FE5"/>
    <w:rsid w:val="00560A90"/>
    <w:rsid w:val="0056304C"/>
    <w:rsid w:val="0056343E"/>
    <w:rsid w:val="005654D9"/>
    <w:rsid w:val="00566A52"/>
    <w:rsid w:val="00567BB3"/>
    <w:rsid w:val="00570A40"/>
    <w:rsid w:val="00582A94"/>
    <w:rsid w:val="0058411B"/>
    <w:rsid w:val="0058527B"/>
    <w:rsid w:val="0058599F"/>
    <w:rsid w:val="005901C7"/>
    <w:rsid w:val="0059643A"/>
    <w:rsid w:val="00596E68"/>
    <w:rsid w:val="00597B55"/>
    <w:rsid w:val="005A1DA3"/>
    <w:rsid w:val="005A3646"/>
    <w:rsid w:val="005A436F"/>
    <w:rsid w:val="005B0313"/>
    <w:rsid w:val="005B181C"/>
    <w:rsid w:val="005B239A"/>
    <w:rsid w:val="005C0DA0"/>
    <w:rsid w:val="005C32F8"/>
    <w:rsid w:val="005C7D13"/>
    <w:rsid w:val="005D74F1"/>
    <w:rsid w:val="005E340A"/>
    <w:rsid w:val="005F42FB"/>
    <w:rsid w:val="005F4932"/>
    <w:rsid w:val="005F4EC1"/>
    <w:rsid w:val="006075D0"/>
    <w:rsid w:val="0061005C"/>
    <w:rsid w:val="00610CB8"/>
    <w:rsid w:val="0061253B"/>
    <w:rsid w:val="00614969"/>
    <w:rsid w:val="006232AE"/>
    <w:rsid w:val="006246F7"/>
    <w:rsid w:val="006300D8"/>
    <w:rsid w:val="0063044D"/>
    <w:rsid w:val="006319F6"/>
    <w:rsid w:val="00634C5C"/>
    <w:rsid w:val="00641EEA"/>
    <w:rsid w:val="006467B8"/>
    <w:rsid w:val="006478F7"/>
    <w:rsid w:val="006522CC"/>
    <w:rsid w:val="00655780"/>
    <w:rsid w:val="0066182E"/>
    <w:rsid w:val="00662F5F"/>
    <w:rsid w:val="00665B4B"/>
    <w:rsid w:val="00665D12"/>
    <w:rsid w:val="006663A8"/>
    <w:rsid w:val="00670454"/>
    <w:rsid w:val="00672791"/>
    <w:rsid w:val="00681260"/>
    <w:rsid w:val="00683824"/>
    <w:rsid w:val="00684F6A"/>
    <w:rsid w:val="00687DE1"/>
    <w:rsid w:val="00691B6D"/>
    <w:rsid w:val="00692B3B"/>
    <w:rsid w:val="006935E7"/>
    <w:rsid w:val="00697E0C"/>
    <w:rsid w:val="006A15C8"/>
    <w:rsid w:val="006A25DB"/>
    <w:rsid w:val="006A2705"/>
    <w:rsid w:val="006B09AB"/>
    <w:rsid w:val="006B0C08"/>
    <w:rsid w:val="006B3141"/>
    <w:rsid w:val="006B3323"/>
    <w:rsid w:val="006C0E66"/>
    <w:rsid w:val="006C55A1"/>
    <w:rsid w:val="006C5E0A"/>
    <w:rsid w:val="006D637A"/>
    <w:rsid w:val="006E1C83"/>
    <w:rsid w:val="006E68CE"/>
    <w:rsid w:val="006E7772"/>
    <w:rsid w:val="006F1E56"/>
    <w:rsid w:val="006F241A"/>
    <w:rsid w:val="006F2EF8"/>
    <w:rsid w:val="006F6A48"/>
    <w:rsid w:val="00700059"/>
    <w:rsid w:val="00700DC3"/>
    <w:rsid w:val="0070370D"/>
    <w:rsid w:val="00704293"/>
    <w:rsid w:val="00707BCD"/>
    <w:rsid w:val="00710EF3"/>
    <w:rsid w:val="007119E5"/>
    <w:rsid w:val="00716449"/>
    <w:rsid w:val="007169CE"/>
    <w:rsid w:val="00726CA2"/>
    <w:rsid w:val="007314E8"/>
    <w:rsid w:val="00741456"/>
    <w:rsid w:val="007424EE"/>
    <w:rsid w:val="00743AFE"/>
    <w:rsid w:val="00751720"/>
    <w:rsid w:val="00753B22"/>
    <w:rsid w:val="00757831"/>
    <w:rsid w:val="00757EBE"/>
    <w:rsid w:val="00764041"/>
    <w:rsid w:val="007647F5"/>
    <w:rsid w:val="00766BC2"/>
    <w:rsid w:val="007679AA"/>
    <w:rsid w:val="00770060"/>
    <w:rsid w:val="007727B7"/>
    <w:rsid w:val="0077491E"/>
    <w:rsid w:val="007819D9"/>
    <w:rsid w:val="00784EA8"/>
    <w:rsid w:val="007850FB"/>
    <w:rsid w:val="00787588"/>
    <w:rsid w:val="00791E6D"/>
    <w:rsid w:val="007929C3"/>
    <w:rsid w:val="00793EB9"/>
    <w:rsid w:val="00794D00"/>
    <w:rsid w:val="007B1C60"/>
    <w:rsid w:val="007B21C3"/>
    <w:rsid w:val="007B3C21"/>
    <w:rsid w:val="007B4073"/>
    <w:rsid w:val="007C0366"/>
    <w:rsid w:val="007C16DC"/>
    <w:rsid w:val="007C60F4"/>
    <w:rsid w:val="007C75B4"/>
    <w:rsid w:val="007D12BA"/>
    <w:rsid w:val="007D79A1"/>
    <w:rsid w:val="007D7D00"/>
    <w:rsid w:val="007E025A"/>
    <w:rsid w:val="007E35C9"/>
    <w:rsid w:val="007F226D"/>
    <w:rsid w:val="007F65E0"/>
    <w:rsid w:val="007F7104"/>
    <w:rsid w:val="008020FC"/>
    <w:rsid w:val="008071FA"/>
    <w:rsid w:val="00807CCC"/>
    <w:rsid w:val="00810EC2"/>
    <w:rsid w:val="0081168E"/>
    <w:rsid w:val="008142DA"/>
    <w:rsid w:val="00815A5E"/>
    <w:rsid w:val="008221D0"/>
    <w:rsid w:val="0082798C"/>
    <w:rsid w:val="0083020A"/>
    <w:rsid w:val="008366D3"/>
    <w:rsid w:val="00837AC2"/>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679E"/>
    <w:rsid w:val="008934E3"/>
    <w:rsid w:val="008A0A7C"/>
    <w:rsid w:val="008A65D5"/>
    <w:rsid w:val="008A7234"/>
    <w:rsid w:val="008B076B"/>
    <w:rsid w:val="008C4292"/>
    <w:rsid w:val="008C432A"/>
    <w:rsid w:val="008C67F2"/>
    <w:rsid w:val="008C69B0"/>
    <w:rsid w:val="008C6D97"/>
    <w:rsid w:val="008C6D99"/>
    <w:rsid w:val="008C711F"/>
    <w:rsid w:val="008D36AD"/>
    <w:rsid w:val="008D40C0"/>
    <w:rsid w:val="008D4952"/>
    <w:rsid w:val="008E2DA0"/>
    <w:rsid w:val="008F10B1"/>
    <w:rsid w:val="008F367A"/>
    <w:rsid w:val="008F5C12"/>
    <w:rsid w:val="008F73FC"/>
    <w:rsid w:val="00900C8F"/>
    <w:rsid w:val="0090164E"/>
    <w:rsid w:val="00902FE3"/>
    <w:rsid w:val="00911194"/>
    <w:rsid w:val="0091492F"/>
    <w:rsid w:val="00916394"/>
    <w:rsid w:val="00920615"/>
    <w:rsid w:val="00926617"/>
    <w:rsid w:val="00927B88"/>
    <w:rsid w:val="00930B5C"/>
    <w:rsid w:val="00936471"/>
    <w:rsid w:val="00936F27"/>
    <w:rsid w:val="00937233"/>
    <w:rsid w:val="009430E6"/>
    <w:rsid w:val="0094743E"/>
    <w:rsid w:val="00957C5F"/>
    <w:rsid w:val="00961206"/>
    <w:rsid w:val="00961E9F"/>
    <w:rsid w:val="00963873"/>
    <w:rsid w:val="009704DB"/>
    <w:rsid w:val="00973DDF"/>
    <w:rsid w:val="0097415E"/>
    <w:rsid w:val="009743DC"/>
    <w:rsid w:val="00976222"/>
    <w:rsid w:val="009801D5"/>
    <w:rsid w:val="009827B8"/>
    <w:rsid w:val="00985690"/>
    <w:rsid w:val="009923A4"/>
    <w:rsid w:val="009927E9"/>
    <w:rsid w:val="009937B6"/>
    <w:rsid w:val="00997E40"/>
    <w:rsid w:val="009C09F3"/>
    <w:rsid w:val="009D0A36"/>
    <w:rsid w:val="009D1118"/>
    <w:rsid w:val="009D3EBE"/>
    <w:rsid w:val="009D474F"/>
    <w:rsid w:val="009D6045"/>
    <w:rsid w:val="009D6BDA"/>
    <w:rsid w:val="009E7586"/>
    <w:rsid w:val="009F01B7"/>
    <w:rsid w:val="009F6580"/>
    <w:rsid w:val="009F7271"/>
    <w:rsid w:val="00A02623"/>
    <w:rsid w:val="00A02CDC"/>
    <w:rsid w:val="00A03CEC"/>
    <w:rsid w:val="00A0541D"/>
    <w:rsid w:val="00A05550"/>
    <w:rsid w:val="00A06D96"/>
    <w:rsid w:val="00A1104A"/>
    <w:rsid w:val="00A11CB8"/>
    <w:rsid w:val="00A1720B"/>
    <w:rsid w:val="00A17906"/>
    <w:rsid w:val="00A23C24"/>
    <w:rsid w:val="00A35DD4"/>
    <w:rsid w:val="00A37EA1"/>
    <w:rsid w:val="00A40538"/>
    <w:rsid w:val="00A40E9F"/>
    <w:rsid w:val="00A4211A"/>
    <w:rsid w:val="00A44641"/>
    <w:rsid w:val="00A44784"/>
    <w:rsid w:val="00A603E4"/>
    <w:rsid w:val="00A61AC2"/>
    <w:rsid w:val="00A674F5"/>
    <w:rsid w:val="00A724CF"/>
    <w:rsid w:val="00A74A3C"/>
    <w:rsid w:val="00A76A52"/>
    <w:rsid w:val="00A807FA"/>
    <w:rsid w:val="00A8388E"/>
    <w:rsid w:val="00A86085"/>
    <w:rsid w:val="00A90102"/>
    <w:rsid w:val="00A9532B"/>
    <w:rsid w:val="00A956B6"/>
    <w:rsid w:val="00A96CCE"/>
    <w:rsid w:val="00AA175A"/>
    <w:rsid w:val="00AA4CCE"/>
    <w:rsid w:val="00AB4B53"/>
    <w:rsid w:val="00AB637F"/>
    <w:rsid w:val="00AB6C30"/>
    <w:rsid w:val="00AC115D"/>
    <w:rsid w:val="00AD0FD8"/>
    <w:rsid w:val="00AD12DF"/>
    <w:rsid w:val="00AD2D76"/>
    <w:rsid w:val="00AD5831"/>
    <w:rsid w:val="00AD769A"/>
    <w:rsid w:val="00AE10CB"/>
    <w:rsid w:val="00AE5359"/>
    <w:rsid w:val="00AE627D"/>
    <w:rsid w:val="00AF19E4"/>
    <w:rsid w:val="00AF39A1"/>
    <w:rsid w:val="00AF579F"/>
    <w:rsid w:val="00B03456"/>
    <w:rsid w:val="00B04194"/>
    <w:rsid w:val="00B061BC"/>
    <w:rsid w:val="00B15D7E"/>
    <w:rsid w:val="00B20C78"/>
    <w:rsid w:val="00B23FF1"/>
    <w:rsid w:val="00B36912"/>
    <w:rsid w:val="00B409FD"/>
    <w:rsid w:val="00B40D80"/>
    <w:rsid w:val="00B42D8A"/>
    <w:rsid w:val="00B43C9C"/>
    <w:rsid w:val="00B44689"/>
    <w:rsid w:val="00B44DA7"/>
    <w:rsid w:val="00B47DBB"/>
    <w:rsid w:val="00B51AF0"/>
    <w:rsid w:val="00B57E8A"/>
    <w:rsid w:val="00B716D3"/>
    <w:rsid w:val="00B721AE"/>
    <w:rsid w:val="00B735F6"/>
    <w:rsid w:val="00B8695B"/>
    <w:rsid w:val="00B9119E"/>
    <w:rsid w:val="00B945C5"/>
    <w:rsid w:val="00B97E95"/>
    <w:rsid w:val="00BA3702"/>
    <w:rsid w:val="00BA7B4E"/>
    <w:rsid w:val="00BB19A9"/>
    <w:rsid w:val="00BB2949"/>
    <w:rsid w:val="00BB4561"/>
    <w:rsid w:val="00BB6027"/>
    <w:rsid w:val="00BC4939"/>
    <w:rsid w:val="00BC77D1"/>
    <w:rsid w:val="00BD4A91"/>
    <w:rsid w:val="00BE3386"/>
    <w:rsid w:val="00BE54E2"/>
    <w:rsid w:val="00BE67AD"/>
    <w:rsid w:val="00BF4473"/>
    <w:rsid w:val="00C05483"/>
    <w:rsid w:val="00C06128"/>
    <w:rsid w:val="00C12414"/>
    <w:rsid w:val="00C129FC"/>
    <w:rsid w:val="00C165A3"/>
    <w:rsid w:val="00C2107F"/>
    <w:rsid w:val="00C2721C"/>
    <w:rsid w:val="00C32288"/>
    <w:rsid w:val="00C332C0"/>
    <w:rsid w:val="00C40E31"/>
    <w:rsid w:val="00C46136"/>
    <w:rsid w:val="00C47BAB"/>
    <w:rsid w:val="00C50206"/>
    <w:rsid w:val="00C502E4"/>
    <w:rsid w:val="00C5057E"/>
    <w:rsid w:val="00C5093A"/>
    <w:rsid w:val="00C5214A"/>
    <w:rsid w:val="00C624A4"/>
    <w:rsid w:val="00C65F8D"/>
    <w:rsid w:val="00C70016"/>
    <w:rsid w:val="00C7438D"/>
    <w:rsid w:val="00C74E74"/>
    <w:rsid w:val="00C81BF7"/>
    <w:rsid w:val="00C84EFF"/>
    <w:rsid w:val="00C852FF"/>
    <w:rsid w:val="00C85F96"/>
    <w:rsid w:val="00C90B42"/>
    <w:rsid w:val="00C931F1"/>
    <w:rsid w:val="00C96DED"/>
    <w:rsid w:val="00CA2498"/>
    <w:rsid w:val="00CA6E85"/>
    <w:rsid w:val="00CB07C4"/>
    <w:rsid w:val="00CB6C87"/>
    <w:rsid w:val="00CC6AEA"/>
    <w:rsid w:val="00CD6299"/>
    <w:rsid w:val="00CE099C"/>
    <w:rsid w:val="00CE5C2D"/>
    <w:rsid w:val="00CE6B7C"/>
    <w:rsid w:val="00CF43AC"/>
    <w:rsid w:val="00CF4D82"/>
    <w:rsid w:val="00CF6052"/>
    <w:rsid w:val="00D01527"/>
    <w:rsid w:val="00D02631"/>
    <w:rsid w:val="00D02B83"/>
    <w:rsid w:val="00D031EA"/>
    <w:rsid w:val="00D05D6C"/>
    <w:rsid w:val="00D05F55"/>
    <w:rsid w:val="00D1464F"/>
    <w:rsid w:val="00D22121"/>
    <w:rsid w:val="00D262ED"/>
    <w:rsid w:val="00D31831"/>
    <w:rsid w:val="00D3475C"/>
    <w:rsid w:val="00D36DC7"/>
    <w:rsid w:val="00D40DD1"/>
    <w:rsid w:val="00D42C33"/>
    <w:rsid w:val="00D47C50"/>
    <w:rsid w:val="00D54127"/>
    <w:rsid w:val="00D57885"/>
    <w:rsid w:val="00D57903"/>
    <w:rsid w:val="00D626CE"/>
    <w:rsid w:val="00D63E38"/>
    <w:rsid w:val="00D72282"/>
    <w:rsid w:val="00D742AC"/>
    <w:rsid w:val="00D74E69"/>
    <w:rsid w:val="00D76474"/>
    <w:rsid w:val="00D82B5E"/>
    <w:rsid w:val="00D85F24"/>
    <w:rsid w:val="00D9285F"/>
    <w:rsid w:val="00D9425A"/>
    <w:rsid w:val="00D95637"/>
    <w:rsid w:val="00DA5512"/>
    <w:rsid w:val="00DA778E"/>
    <w:rsid w:val="00DB1039"/>
    <w:rsid w:val="00DB70BC"/>
    <w:rsid w:val="00DC14CA"/>
    <w:rsid w:val="00DC46EC"/>
    <w:rsid w:val="00DC6BFB"/>
    <w:rsid w:val="00DC76D4"/>
    <w:rsid w:val="00DC76F6"/>
    <w:rsid w:val="00DD10BE"/>
    <w:rsid w:val="00DD2C85"/>
    <w:rsid w:val="00DD51F3"/>
    <w:rsid w:val="00DD6A1F"/>
    <w:rsid w:val="00DD7328"/>
    <w:rsid w:val="00DE123A"/>
    <w:rsid w:val="00DE45C1"/>
    <w:rsid w:val="00DF4373"/>
    <w:rsid w:val="00DF5936"/>
    <w:rsid w:val="00E002DF"/>
    <w:rsid w:val="00E007A5"/>
    <w:rsid w:val="00E01B3F"/>
    <w:rsid w:val="00E0249C"/>
    <w:rsid w:val="00E232E9"/>
    <w:rsid w:val="00E23E55"/>
    <w:rsid w:val="00E23EAA"/>
    <w:rsid w:val="00E25E88"/>
    <w:rsid w:val="00E25FB3"/>
    <w:rsid w:val="00E3014C"/>
    <w:rsid w:val="00E3086C"/>
    <w:rsid w:val="00E327D2"/>
    <w:rsid w:val="00E33E73"/>
    <w:rsid w:val="00E35542"/>
    <w:rsid w:val="00E36AFA"/>
    <w:rsid w:val="00E42ED0"/>
    <w:rsid w:val="00E43F3B"/>
    <w:rsid w:val="00E45CCC"/>
    <w:rsid w:val="00E46B1C"/>
    <w:rsid w:val="00E54448"/>
    <w:rsid w:val="00E54F06"/>
    <w:rsid w:val="00E617FB"/>
    <w:rsid w:val="00E700A6"/>
    <w:rsid w:val="00E71A0C"/>
    <w:rsid w:val="00E745A3"/>
    <w:rsid w:val="00E75871"/>
    <w:rsid w:val="00E832E8"/>
    <w:rsid w:val="00E87D5B"/>
    <w:rsid w:val="00E917C1"/>
    <w:rsid w:val="00E92BB6"/>
    <w:rsid w:val="00E92C55"/>
    <w:rsid w:val="00EA4E00"/>
    <w:rsid w:val="00EA58A3"/>
    <w:rsid w:val="00EA7042"/>
    <w:rsid w:val="00EA70FE"/>
    <w:rsid w:val="00EB2A6F"/>
    <w:rsid w:val="00EB46A9"/>
    <w:rsid w:val="00EC1C1C"/>
    <w:rsid w:val="00EC51BF"/>
    <w:rsid w:val="00EC65C3"/>
    <w:rsid w:val="00ED4609"/>
    <w:rsid w:val="00ED4B42"/>
    <w:rsid w:val="00ED4F92"/>
    <w:rsid w:val="00ED7C88"/>
    <w:rsid w:val="00EE148E"/>
    <w:rsid w:val="00EE30C3"/>
    <w:rsid w:val="00EF09F6"/>
    <w:rsid w:val="00EF2040"/>
    <w:rsid w:val="00EF6356"/>
    <w:rsid w:val="00EF705F"/>
    <w:rsid w:val="00F00767"/>
    <w:rsid w:val="00F01C15"/>
    <w:rsid w:val="00F04707"/>
    <w:rsid w:val="00F10C82"/>
    <w:rsid w:val="00F1149A"/>
    <w:rsid w:val="00F14BA9"/>
    <w:rsid w:val="00F15FD4"/>
    <w:rsid w:val="00F16C3E"/>
    <w:rsid w:val="00F17D9F"/>
    <w:rsid w:val="00F22C59"/>
    <w:rsid w:val="00F248B4"/>
    <w:rsid w:val="00F27430"/>
    <w:rsid w:val="00F301C4"/>
    <w:rsid w:val="00F3086E"/>
    <w:rsid w:val="00F33A59"/>
    <w:rsid w:val="00F341C6"/>
    <w:rsid w:val="00F373BB"/>
    <w:rsid w:val="00F411D5"/>
    <w:rsid w:val="00F43561"/>
    <w:rsid w:val="00F442B6"/>
    <w:rsid w:val="00F44457"/>
    <w:rsid w:val="00F47842"/>
    <w:rsid w:val="00F552C4"/>
    <w:rsid w:val="00F60FC7"/>
    <w:rsid w:val="00F61452"/>
    <w:rsid w:val="00F64030"/>
    <w:rsid w:val="00F6771E"/>
    <w:rsid w:val="00F70D96"/>
    <w:rsid w:val="00F7309D"/>
    <w:rsid w:val="00F75F39"/>
    <w:rsid w:val="00F81DDC"/>
    <w:rsid w:val="00F8543E"/>
    <w:rsid w:val="00F8595A"/>
    <w:rsid w:val="00F8624C"/>
    <w:rsid w:val="00F9626F"/>
    <w:rsid w:val="00FA134E"/>
    <w:rsid w:val="00FA2194"/>
    <w:rsid w:val="00FA2A2E"/>
    <w:rsid w:val="00FA431F"/>
    <w:rsid w:val="00FA491F"/>
    <w:rsid w:val="00FA522F"/>
    <w:rsid w:val="00FB10E6"/>
    <w:rsid w:val="00FB29A4"/>
    <w:rsid w:val="00FB5067"/>
    <w:rsid w:val="00FB70F7"/>
    <w:rsid w:val="00FC46BF"/>
    <w:rsid w:val="00FC6C7C"/>
    <w:rsid w:val="00FD04A3"/>
    <w:rsid w:val="00FD38C3"/>
    <w:rsid w:val="00FD4216"/>
    <w:rsid w:val="00FE52E7"/>
    <w:rsid w:val="00FF2303"/>
    <w:rsid w:val="00FF3A6A"/>
    <w:rsid w:val="00FF42A6"/>
    <w:rsid w:val="00FF4394"/>
    <w:rsid w:val="00FF59EA"/>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FA0B-A0BF-4E84-9484-3450807D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195</cp:revision>
  <cp:lastPrinted>2015-09-23T15:28:00Z</cp:lastPrinted>
  <dcterms:created xsi:type="dcterms:W3CDTF">2019-12-27T16:31:00Z</dcterms:created>
  <dcterms:modified xsi:type="dcterms:W3CDTF">2020-01-29T20:09:00Z</dcterms:modified>
</cp:coreProperties>
</file>