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E80" w:rsidRDefault="00454E80" w:rsidP="00454E80">
      <w:pPr>
        <w:spacing w:after="0" w:line="240" w:lineRule="auto"/>
        <w:jc w:val="center"/>
        <w:outlineLvl w:val="0"/>
        <w:rPr>
          <w:rFonts w:ascii="Trebuchet MS" w:eastAsia="Times New Roman" w:hAnsi="Trebuchet MS" w:cs="Arial"/>
          <w:b/>
          <w:sz w:val="40"/>
          <w:szCs w:val="40"/>
        </w:rPr>
      </w:pPr>
    </w:p>
    <w:p w:rsidR="00454E80" w:rsidRDefault="00454E80" w:rsidP="00454E80">
      <w:pPr>
        <w:spacing w:after="0" w:line="240" w:lineRule="auto"/>
        <w:jc w:val="center"/>
        <w:outlineLvl w:val="0"/>
        <w:rPr>
          <w:rFonts w:ascii="Trebuchet MS" w:eastAsia="Times New Roman" w:hAnsi="Trebuchet MS" w:cs="Arial"/>
          <w:b/>
          <w:sz w:val="40"/>
          <w:szCs w:val="40"/>
        </w:rPr>
      </w:pPr>
    </w:p>
    <w:p w:rsidR="00454E80" w:rsidRDefault="00454E80" w:rsidP="00454E80">
      <w:pPr>
        <w:spacing w:after="0" w:line="240" w:lineRule="auto"/>
        <w:jc w:val="center"/>
        <w:outlineLvl w:val="0"/>
        <w:rPr>
          <w:rFonts w:ascii="Trebuchet MS" w:eastAsia="Times New Roman" w:hAnsi="Trebuchet MS" w:cs="Arial"/>
          <w:b/>
          <w:sz w:val="40"/>
          <w:szCs w:val="40"/>
        </w:rPr>
      </w:pPr>
    </w:p>
    <w:p w:rsidR="00156703" w:rsidRPr="00AC544F" w:rsidRDefault="00454E80" w:rsidP="00454E80">
      <w:pPr>
        <w:spacing w:after="0" w:line="240" w:lineRule="auto"/>
        <w:jc w:val="center"/>
        <w:outlineLvl w:val="0"/>
        <w:rPr>
          <w:rFonts w:ascii="Arial" w:eastAsia="Times New Roman" w:hAnsi="Arial" w:cs="Arial"/>
          <w:b/>
          <w:sz w:val="40"/>
          <w:szCs w:val="40"/>
        </w:rPr>
      </w:pPr>
      <w:r w:rsidRPr="00AC544F">
        <w:rPr>
          <w:rFonts w:ascii="Arial" w:eastAsia="Times New Roman" w:hAnsi="Arial" w:cs="Arial"/>
          <w:b/>
          <w:sz w:val="40"/>
          <w:szCs w:val="40"/>
        </w:rPr>
        <w:t xml:space="preserve">HIV/AIDS Epidemiology Report for the </w:t>
      </w:r>
    </w:p>
    <w:p w:rsidR="00454E80" w:rsidRPr="00AC544F" w:rsidRDefault="00454E80" w:rsidP="00454E80">
      <w:pPr>
        <w:spacing w:after="0" w:line="240" w:lineRule="auto"/>
        <w:jc w:val="center"/>
        <w:outlineLvl w:val="0"/>
        <w:rPr>
          <w:rFonts w:ascii="Arial" w:eastAsia="Times New Roman" w:hAnsi="Arial" w:cs="Arial"/>
          <w:b/>
          <w:sz w:val="40"/>
          <w:szCs w:val="40"/>
        </w:rPr>
      </w:pPr>
      <w:r w:rsidRPr="00AC544F">
        <w:rPr>
          <w:rFonts w:ascii="Arial" w:eastAsia="Times New Roman" w:hAnsi="Arial" w:cs="Arial"/>
          <w:b/>
          <w:sz w:val="40"/>
          <w:szCs w:val="40"/>
        </w:rPr>
        <w:t xml:space="preserve">Tampa- St. Petersburg Eligible Metropolitan Area </w:t>
      </w:r>
    </w:p>
    <w:p w:rsidR="00454E80" w:rsidRDefault="00454E80" w:rsidP="00454E80">
      <w:pPr>
        <w:spacing w:after="0" w:line="240" w:lineRule="auto"/>
        <w:jc w:val="center"/>
        <w:outlineLvl w:val="0"/>
        <w:rPr>
          <w:rFonts w:ascii="Arial" w:eastAsia="Times New Roman" w:hAnsi="Arial" w:cs="Arial"/>
          <w:b/>
          <w:sz w:val="28"/>
          <w:szCs w:val="28"/>
        </w:rPr>
      </w:pPr>
    </w:p>
    <w:p w:rsidR="0050554D" w:rsidRDefault="0050554D" w:rsidP="00454E80">
      <w:pPr>
        <w:spacing w:after="0" w:line="240" w:lineRule="auto"/>
        <w:jc w:val="center"/>
        <w:outlineLvl w:val="0"/>
        <w:rPr>
          <w:rFonts w:ascii="Arial" w:eastAsia="Times New Roman" w:hAnsi="Arial" w:cs="Arial"/>
          <w:b/>
          <w:sz w:val="28"/>
          <w:szCs w:val="28"/>
        </w:rPr>
      </w:pPr>
      <w:r>
        <w:rPr>
          <w:rFonts w:ascii="Arial" w:eastAsia="Times New Roman" w:hAnsi="Arial" w:cs="Arial"/>
          <w:b/>
          <w:sz w:val="28"/>
          <w:szCs w:val="28"/>
        </w:rPr>
        <w:t>Adopted: May 3</w:t>
      </w:r>
      <w:r w:rsidRPr="0050554D">
        <w:rPr>
          <w:rFonts w:ascii="Arial" w:eastAsia="Times New Roman" w:hAnsi="Arial" w:cs="Arial"/>
          <w:b/>
          <w:sz w:val="28"/>
          <w:szCs w:val="28"/>
          <w:vertAlign w:val="superscript"/>
        </w:rPr>
        <w:t>rd</w:t>
      </w:r>
      <w:r>
        <w:rPr>
          <w:rFonts w:ascii="Arial" w:eastAsia="Times New Roman" w:hAnsi="Arial" w:cs="Arial"/>
          <w:b/>
          <w:sz w:val="28"/>
          <w:szCs w:val="28"/>
        </w:rPr>
        <w:t>, 2017</w:t>
      </w:r>
      <w:bookmarkStart w:id="0" w:name="_GoBack"/>
      <w:bookmarkEnd w:id="0"/>
    </w:p>
    <w:p w:rsidR="0050554D" w:rsidRPr="00AC544F" w:rsidRDefault="0050554D"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32"/>
          <w:szCs w:val="32"/>
        </w:rPr>
      </w:pPr>
      <w:r w:rsidRPr="00AC544F">
        <w:rPr>
          <w:rFonts w:ascii="Arial" w:eastAsia="Times New Roman" w:hAnsi="Arial" w:cs="Arial"/>
          <w:b/>
          <w:sz w:val="32"/>
          <w:szCs w:val="32"/>
        </w:rPr>
        <w:t>2016-2017</w:t>
      </w: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outlineLvl w:val="0"/>
        <w:rPr>
          <w:rFonts w:ascii="Arial" w:eastAsia="Times New Roman" w:hAnsi="Arial" w:cs="Arial"/>
          <w:b/>
          <w:sz w:val="28"/>
          <w:szCs w:val="28"/>
        </w:rPr>
      </w:pPr>
    </w:p>
    <w:p w:rsidR="00454E80" w:rsidRPr="00AC544F" w:rsidRDefault="00454E80" w:rsidP="00454E80">
      <w:pPr>
        <w:spacing w:after="0" w:line="240" w:lineRule="auto"/>
        <w:outlineLvl w:val="0"/>
        <w:rPr>
          <w:rFonts w:ascii="Arial" w:eastAsia="Times New Roman" w:hAnsi="Arial" w:cs="Arial"/>
          <w:b/>
          <w:sz w:val="28"/>
          <w:szCs w:val="28"/>
        </w:rPr>
      </w:pPr>
      <w:r w:rsidRPr="00AC544F">
        <w:rPr>
          <w:rFonts w:ascii="Arial" w:eastAsia="Times New Roman" w:hAnsi="Arial" w:cs="Arial"/>
          <w:b/>
          <w:noProof/>
          <w:sz w:val="28"/>
          <w:szCs w:val="28"/>
        </w:rPr>
        <w:drawing>
          <wp:inline distT="0" distB="0" distL="0" distR="0" wp14:anchorId="2696497A" wp14:editId="6E8D860A">
            <wp:extent cx="1828800" cy="876300"/>
            <wp:effectExtent l="0" t="0" r="0" b="0"/>
            <wp:docPr id="15" name="Picture 15" descr="H:\Letterhead &amp; Forms Templates\2015 Logos\SHC 2015 Logo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etterhead &amp; Forms Templates\2015 Logos\SHC 2015 Logo (Mediu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876300"/>
                    </a:xfrm>
                    <a:prstGeom prst="rect">
                      <a:avLst/>
                    </a:prstGeom>
                    <a:noFill/>
                    <a:ln>
                      <a:noFill/>
                    </a:ln>
                  </pic:spPr>
                </pic:pic>
              </a:graphicData>
            </a:graphic>
          </wp:inline>
        </w:drawing>
      </w:r>
    </w:p>
    <w:p w:rsidR="00454E80" w:rsidRPr="00AC544F" w:rsidRDefault="00454E80" w:rsidP="00454E80">
      <w:pPr>
        <w:spacing w:after="0" w:line="240" w:lineRule="auto"/>
        <w:outlineLvl w:val="0"/>
        <w:rPr>
          <w:rFonts w:ascii="Arial" w:eastAsia="Times New Roman" w:hAnsi="Arial" w:cs="Arial"/>
          <w:b/>
          <w:sz w:val="28"/>
          <w:szCs w:val="28"/>
        </w:rPr>
      </w:pPr>
    </w:p>
    <w:p w:rsidR="00454E80" w:rsidRPr="00AC544F" w:rsidRDefault="00454E80" w:rsidP="00454E80">
      <w:pPr>
        <w:spacing w:after="0" w:line="240" w:lineRule="auto"/>
        <w:outlineLvl w:val="0"/>
        <w:rPr>
          <w:rFonts w:ascii="Arial" w:eastAsia="Times New Roman" w:hAnsi="Arial" w:cs="Arial"/>
          <w:sz w:val="28"/>
          <w:szCs w:val="28"/>
        </w:rPr>
      </w:pPr>
      <w:r w:rsidRPr="00AC544F">
        <w:rPr>
          <w:rFonts w:ascii="Arial" w:eastAsia="Times New Roman" w:hAnsi="Arial" w:cs="Arial"/>
          <w:sz w:val="28"/>
          <w:szCs w:val="28"/>
        </w:rPr>
        <w:t>Helen King, Board Chair</w:t>
      </w:r>
    </w:p>
    <w:p w:rsidR="00454E80" w:rsidRPr="00AC544F" w:rsidRDefault="00454E80" w:rsidP="00454E80">
      <w:pPr>
        <w:spacing w:after="0" w:line="240" w:lineRule="auto"/>
        <w:outlineLvl w:val="0"/>
        <w:rPr>
          <w:rFonts w:ascii="Arial" w:eastAsia="Times New Roman" w:hAnsi="Arial" w:cs="Arial"/>
          <w:sz w:val="28"/>
          <w:szCs w:val="28"/>
        </w:rPr>
      </w:pPr>
      <w:r w:rsidRPr="00AC544F">
        <w:rPr>
          <w:rFonts w:ascii="Arial" w:eastAsia="Times New Roman" w:hAnsi="Arial" w:cs="Arial"/>
          <w:sz w:val="28"/>
          <w:szCs w:val="28"/>
        </w:rPr>
        <w:t>Elizabeth Rugg, Executive Director</w:t>
      </w:r>
    </w:p>
    <w:p w:rsidR="00B53B9E" w:rsidRPr="00AC544F" w:rsidRDefault="00454E80" w:rsidP="00B53B9E">
      <w:pPr>
        <w:spacing w:after="0" w:line="240" w:lineRule="auto"/>
        <w:outlineLvl w:val="0"/>
        <w:rPr>
          <w:rFonts w:ascii="Arial" w:eastAsia="Times New Roman" w:hAnsi="Arial" w:cs="Arial"/>
          <w:sz w:val="28"/>
          <w:szCs w:val="28"/>
        </w:rPr>
      </w:pPr>
      <w:r w:rsidRPr="00AC544F">
        <w:rPr>
          <w:rFonts w:ascii="Arial" w:eastAsia="Times New Roman" w:hAnsi="Arial" w:cs="Arial"/>
          <w:sz w:val="28"/>
          <w:szCs w:val="28"/>
        </w:rPr>
        <w:t>Lisa Nugent, Planning Director</w:t>
      </w:r>
    </w:p>
    <w:p w:rsidR="00454E80" w:rsidRPr="00AC544F" w:rsidRDefault="00454E80" w:rsidP="00B53B9E">
      <w:pPr>
        <w:spacing w:after="0" w:line="240" w:lineRule="auto"/>
        <w:outlineLvl w:val="0"/>
        <w:rPr>
          <w:rFonts w:ascii="Arial" w:eastAsia="Times New Roman" w:hAnsi="Arial" w:cs="Arial"/>
          <w:sz w:val="28"/>
          <w:szCs w:val="28"/>
        </w:rPr>
      </w:pPr>
      <w:r w:rsidRPr="00AC544F">
        <w:rPr>
          <w:rFonts w:ascii="Arial" w:eastAsia="Times New Roman" w:hAnsi="Arial" w:cs="Arial"/>
          <w:sz w:val="28"/>
          <w:szCs w:val="28"/>
        </w:rPr>
        <w:br w:type="page"/>
      </w:r>
      <w:r w:rsidRPr="00AC544F">
        <w:rPr>
          <w:rFonts w:ascii="Arial" w:eastAsia="Times New Roman" w:hAnsi="Arial" w:cs="Arial"/>
          <w:b/>
          <w:smallCaps/>
          <w:sz w:val="28"/>
          <w:szCs w:val="28"/>
        </w:rPr>
        <w:lastRenderedPageBreak/>
        <w:t>Who We Are</w:t>
      </w:r>
    </w:p>
    <w:p w:rsidR="00454E80" w:rsidRPr="00AC544F" w:rsidRDefault="00454E80" w:rsidP="00454E80">
      <w:pPr>
        <w:spacing w:after="0" w:line="240" w:lineRule="auto"/>
        <w:jc w:val="center"/>
        <w:outlineLvl w:val="0"/>
        <w:rPr>
          <w:rFonts w:ascii="Arial" w:eastAsia="Times New Roman" w:hAnsi="Arial" w:cs="Arial"/>
          <w:b/>
          <w:sz w:val="24"/>
          <w:szCs w:val="24"/>
        </w:rPr>
      </w:pPr>
    </w:p>
    <w:p w:rsidR="00454E80" w:rsidRPr="00AC544F" w:rsidRDefault="00454E80" w:rsidP="00454E80">
      <w:pPr>
        <w:spacing w:after="0" w:line="240" w:lineRule="auto"/>
        <w:jc w:val="both"/>
        <w:outlineLvl w:val="0"/>
        <w:rPr>
          <w:rFonts w:ascii="Arial" w:eastAsia="Times New Roman" w:hAnsi="Arial" w:cs="Arial"/>
          <w:sz w:val="24"/>
          <w:szCs w:val="24"/>
        </w:rPr>
      </w:pPr>
      <w:r w:rsidRPr="00AC544F">
        <w:rPr>
          <w:rFonts w:ascii="Arial" w:eastAsia="Times New Roman" w:hAnsi="Arial" w:cs="Arial"/>
          <w:sz w:val="24"/>
          <w:szCs w:val="24"/>
        </w:rPr>
        <w:t xml:space="preserve">The health councils were created in 1983 by Florida Statute to identify, address and resolve health care issues of local concern.  Each health council is a private, non-profit organization governed by a Board of Directors.  The Board members are appointed by </w:t>
      </w:r>
      <w:smartTag w:uri="urn:schemas-microsoft-com:office:smarttags" w:element="place">
        <w:smartTag w:uri="urn:schemas-microsoft-com:office:smarttags" w:element="PlaceType">
          <w:r w:rsidRPr="00AC544F">
            <w:rPr>
              <w:rFonts w:ascii="Arial" w:eastAsia="Times New Roman" w:hAnsi="Arial" w:cs="Arial"/>
              <w:sz w:val="24"/>
              <w:szCs w:val="24"/>
            </w:rPr>
            <w:t>County</w:t>
          </w:r>
        </w:smartTag>
        <w:r w:rsidRPr="00AC544F">
          <w:rPr>
            <w:rFonts w:ascii="Arial" w:eastAsia="Times New Roman" w:hAnsi="Arial" w:cs="Arial"/>
            <w:sz w:val="24"/>
            <w:szCs w:val="24"/>
          </w:rPr>
          <w:t xml:space="preserve"> </w:t>
        </w:r>
        <w:smartTag w:uri="urn:schemas-microsoft-com:office:smarttags" w:element="PlaceName">
          <w:r w:rsidRPr="00AC544F">
            <w:rPr>
              <w:rFonts w:ascii="Arial" w:eastAsia="Times New Roman" w:hAnsi="Arial" w:cs="Arial"/>
              <w:sz w:val="24"/>
              <w:szCs w:val="24"/>
            </w:rPr>
            <w:t>Commissioners</w:t>
          </w:r>
        </w:smartTag>
      </w:smartTag>
      <w:r w:rsidRPr="00AC544F">
        <w:rPr>
          <w:rFonts w:ascii="Arial" w:eastAsia="Times New Roman" w:hAnsi="Arial" w:cs="Arial"/>
          <w:sz w:val="24"/>
          <w:szCs w:val="24"/>
        </w:rPr>
        <w:t xml:space="preserve"> to represent the concerns of health care consumers, providers and purchasers.</w:t>
      </w:r>
    </w:p>
    <w:p w:rsidR="00454E80" w:rsidRPr="00AC544F" w:rsidRDefault="00454E80" w:rsidP="00454E80">
      <w:pPr>
        <w:spacing w:after="0" w:line="240" w:lineRule="auto"/>
        <w:jc w:val="both"/>
        <w:outlineLvl w:val="0"/>
        <w:rPr>
          <w:rFonts w:ascii="Arial" w:eastAsia="Times New Roman" w:hAnsi="Arial" w:cs="Arial"/>
          <w:sz w:val="24"/>
          <w:szCs w:val="24"/>
        </w:rPr>
      </w:pPr>
    </w:p>
    <w:p w:rsidR="00454E80" w:rsidRPr="00AC544F" w:rsidRDefault="00454E80" w:rsidP="00454E80">
      <w:pPr>
        <w:spacing w:after="0" w:line="240" w:lineRule="auto"/>
        <w:jc w:val="both"/>
        <w:outlineLvl w:val="0"/>
        <w:rPr>
          <w:rFonts w:ascii="Arial" w:eastAsia="Times New Roman" w:hAnsi="Arial" w:cs="Arial"/>
          <w:sz w:val="24"/>
          <w:szCs w:val="24"/>
        </w:rPr>
      </w:pPr>
      <w:r w:rsidRPr="00AC544F">
        <w:rPr>
          <w:rFonts w:ascii="Arial" w:eastAsia="Times New Roman" w:hAnsi="Arial" w:cs="Arial"/>
          <w:sz w:val="24"/>
          <w:szCs w:val="24"/>
        </w:rPr>
        <w:t xml:space="preserve">The Suncoast Health Council, Inc. (SHC) serves </w:t>
      </w:r>
      <w:smartTag w:uri="urn:schemas-microsoft-com:office:smarttags" w:element="City">
        <w:smartTag w:uri="urn:schemas-microsoft-com:office:smarttags" w:element="place">
          <w:r w:rsidRPr="00AC544F">
            <w:rPr>
              <w:rFonts w:ascii="Arial" w:eastAsia="Times New Roman" w:hAnsi="Arial" w:cs="Arial"/>
              <w:sz w:val="24"/>
              <w:szCs w:val="24"/>
            </w:rPr>
            <w:t>Pasco</w:t>
          </w:r>
        </w:smartTag>
      </w:smartTag>
      <w:r w:rsidRPr="00AC544F">
        <w:rPr>
          <w:rFonts w:ascii="Arial" w:eastAsia="Times New Roman" w:hAnsi="Arial" w:cs="Arial"/>
          <w:sz w:val="24"/>
          <w:szCs w:val="24"/>
        </w:rPr>
        <w:t xml:space="preserve"> and Pinellas counties. The Council has extensive experience working with for-profit and non-profit agencies, public health organizations, consumers and professionals.  Collaboration and cooperation are critical to the success of our mission.</w:t>
      </w:r>
    </w:p>
    <w:p w:rsidR="00454E80" w:rsidRPr="00AC544F" w:rsidRDefault="00454E80" w:rsidP="00454E80">
      <w:pPr>
        <w:spacing w:after="0" w:line="240" w:lineRule="auto"/>
        <w:jc w:val="both"/>
        <w:outlineLvl w:val="0"/>
        <w:rPr>
          <w:rFonts w:ascii="Arial" w:eastAsia="Times New Roman" w:hAnsi="Arial" w:cs="Arial"/>
          <w:sz w:val="24"/>
          <w:szCs w:val="24"/>
        </w:rPr>
      </w:pPr>
    </w:p>
    <w:p w:rsidR="00454E80" w:rsidRPr="00AC544F" w:rsidRDefault="00454E80" w:rsidP="00454E80">
      <w:pPr>
        <w:spacing w:after="0" w:line="240" w:lineRule="auto"/>
        <w:jc w:val="both"/>
        <w:outlineLvl w:val="0"/>
        <w:rPr>
          <w:rFonts w:ascii="Arial" w:eastAsia="Times New Roman" w:hAnsi="Arial" w:cs="Arial"/>
          <w:sz w:val="24"/>
          <w:szCs w:val="24"/>
        </w:rPr>
      </w:pPr>
      <w:r w:rsidRPr="00AC544F">
        <w:rPr>
          <w:rFonts w:ascii="Arial" w:eastAsia="Times New Roman" w:hAnsi="Arial" w:cs="Arial"/>
          <w:sz w:val="24"/>
          <w:szCs w:val="24"/>
        </w:rPr>
        <w:t xml:space="preserve">We have three strategic goals: (1) support the accessibility of health care and social support systems through </w:t>
      </w:r>
      <w:r w:rsidRPr="00AC544F">
        <w:rPr>
          <w:rFonts w:ascii="Arial" w:eastAsia="Times New Roman" w:hAnsi="Arial" w:cs="Arial"/>
          <w:i/>
          <w:sz w:val="24"/>
          <w:szCs w:val="24"/>
        </w:rPr>
        <w:t>comprehensive health planning</w:t>
      </w:r>
      <w:r w:rsidRPr="00AC544F">
        <w:rPr>
          <w:rFonts w:ascii="Arial" w:eastAsia="Times New Roman" w:hAnsi="Arial" w:cs="Arial"/>
          <w:sz w:val="24"/>
          <w:szCs w:val="24"/>
        </w:rPr>
        <w:t xml:space="preserve">; (2) obtain and provide </w:t>
      </w:r>
      <w:r w:rsidRPr="00AC544F">
        <w:rPr>
          <w:rFonts w:ascii="Arial" w:eastAsia="Times New Roman" w:hAnsi="Arial" w:cs="Arial"/>
          <w:i/>
          <w:sz w:val="24"/>
          <w:szCs w:val="24"/>
        </w:rPr>
        <w:t xml:space="preserve">education </w:t>
      </w:r>
      <w:r w:rsidRPr="00AC544F">
        <w:rPr>
          <w:rFonts w:ascii="Arial" w:eastAsia="Times New Roman" w:hAnsi="Arial" w:cs="Arial"/>
          <w:sz w:val="24"/>
          <w:szCs w:val="24"/>
        </w:rPr>
        <w:t xml:space="preserve">about essential community health challenges and solutions; and (3) participate as collaborative partners to develop and sustain efficient and cost effective </w:t>
      </w:r>
      <w:r w:rsidRPr="00AC544F">
        <w:rPr>
          <w:rFonts w:ascii="Arial" w:eastAsia="Times New Roman" w:hAnsi="Arial" w:cs="Arial"/>
          <w:i/>
          <w:sz w:val="24"/>
          <w:szCs w:val="24"/>
        </w:rPr>
        <w:t>service delivery</w:t>
      </w:r>
      <w:r w:rsidRPr="00AC544F">
        <w:rPr>
          <w:rFonts w:ascii="Arial" w:eastAsia="Times New Roman" w:hAnsi="Arial" w:cs="Arial"/>
          <w:sz w:val="24"/>
          <w:szCs w:val="24"/>
        </w:rPr>
        <w:t xml:space="preserve"> systems.</w:t>
      </w:r>
    </w:p>
    <w:p w:rsidR="00454E80" w:rsidRPr="00AC544F" w:rsidRDefault="00454E80" w:rsidP="00454E80">
      <w:pPr>
        <w:spacing w:after="0" w:line="240" w:lineRule="auto"/>
        <w:outlineLvl w:val="0"/>
        <w:rPr>
          <w:rFonts w:ascii="Arial" w:eastAsia="Times New Roman" w:hAnsi="Arial" w:cs="Arial"/>
          <w:sz w:val="24"/>
          <w:szCs w:val="24"/>
        </w:rPr>
      </w:pPr>
    </w:p>
    <w:p w:rsidR="00454E80" w:rsidRPr="00AC544F" w:rsidRDefault="00454E80" w:rsidP="00454E80">
      <w:pPr>
        <w:spacing w:after="0" w:line="240" w:lineRule="auto"/>
        <w:jc w:val="center"/>
        <w:outlineLvl w:val="0"/>
        <w:rPr>
          <w:rFonts w:ascii="Arial" w:eastAsia="Times New Roman" w:hAnsi="Arial" w:cs="Arial"/>
          <w:b/>
          <w:smallCaps/>
          <w:sz w:val="28"/>
          <w:szCs w:val="28"/>
        </w:rPr>
      </w:pPr>
      <w:r w:rsidRPr="00AC544F">
        <w:rPr>
          <w:rFonts w:ascii="Arial" w:eastAsia="Times New Roman" w:hAnsi="Arial" w:cs="Arial"/>
          <w:b/>
          <w:smallCaps/>
          <w:sz w:val="28"/>
          <w:szCs w:val="28"/>
        </w:rPr>
        <w:t>Suncoast Health Council, Inc.</w:t>
      </w:r>
    </w:p>
    <w:p w:rsidR="00454E80" w:rsidRPr="00AC544F" w:rsidRDefault="00454E80" w:rsidP="00454E80">
      <w:pPr>
        <w:spacing w:after="0" w:line="240" w:lineRule="auto"/>
        <w:jc w:val="center"/>
        <w:outlineLvl w:val="0"/>
        <w:rPr>
          <w:rFonts w:ascii="Arial" w:eastAsia="Times New Roman" w:hAnsi="Arial" w:cs="Arial"/>
          <w:b/>
          <w:smallCaps/>
          <w:sz w:val="28"/>
          <w:szCs w:val="28"/>
        </w:rPr>
      </w:pPr>
      <w:r w:rsidRPr="00AC544F">
        <w:rPr>
          <w:rFonts w:ascii="Arial" w:eastAsia="Times New Roman" w:hAnsi="Arial" w:cs="Arial"/>
          <w:b/>
          <w:smallCaps/>
          <w:sz w:val="28"/>
          <w:szCs w:val="28"/>
        </w:rPr>
        <w:t>Board of Directors</w:t>
      </w:r>
    </w:p>
    <w:p w:rsidR="00454E80" w:rsidRDefault="00454E80" w:rsidP="00454E80">
      <w:pPr>
        <w:spacing w:after="0" w:line="240" w:lineRule="auto"/>
        <w:jc w:val="center"/>
        <w:outlineLvl w:val="0"/>
        <w:rPr>
          <w:rFonts w:ascii="Arial" w:eastAsia="Times New Roman" w:hAnsi="Arial" w:cs="Arial"/>
          <w:sz w:val="24"/>
          <w:szCs w:val="24"/>
        </w:rPr>
      </w:pP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Terri Briseno</w:t>
      </w: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Vonda Colquitt</w:t>
      </w:r>
    </w:p>
    <w:p w:rsidR="00876A55" w:rsidRPr="00876A55" w:rsidRDefault="00876A55" w:rsidP="00876A55">
      <w:pPr>
        <w:spacing w:after="0" w:line="240" w:lineRule="auto"/>
        <w:jc w:val="center"/>
        <w:outlineLvl w:val="0"/>
        <w:rPr>
          <w:rFonts w:ascii="Arial" w:eastAsia="Times New Roman" w:hAnsi="Arial" w:cs="Arial"/>
          <w:sz w:val="24"/>
          <w:szCs w:val="24"/>
        </w:rPr>
      </w:pPr>
      <w:r>
        <w:rPr>
          <w:rFonts w:ascii="Arial" w:eastAsia="Times New Roman" w:hAnsi="Arial" w:cs="Arial"/>
          <w:sz w:val="24"/>
          <w:szCs w:val="24"/>
        </w:rPr>
        <w:t>Rob Marlowe (</w:t>
      </w:r>
      <w:r w:rsidRPr="00876A55">
        <w:rPr>
          <w:rFonts w:ascii="Arial" w:eastAsia="Times New Roman" w:hAnsi="Arial" w:cs="Arial"/>
          <w:sz w:val="24"/>
          <w:szCs w:val="24"/>
        </w:rPr>
        <w:t>Acting Chair</w:t>
      </w:r>
      <w:r>
        <w:rPr>
          <w:rFonts w:ascii="Arial" w:eastAsia="Times New Roman" w:hAnsi="Arial" w:cs="Arial"/>
          <w:sz w:val="24"/>
          <w:szCs w:val="24"/>
        </w:rPr>
        <w:t>)</w:t>
      </w: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Natasha Martin</w:t>
      </w: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Lillian Okpaleke</w:t>
      </w: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Ginny Nelson</w:t>
      </w: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Patricia Quigley, MD</w:t>
      </w: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Louanne Saraga Walters</w:t>
      </w: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Nadine Spring</w:t>
      </w: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Jared Tur</w:t>
      </w:r>
    </w:p>
    <w:p w:rsidR="00876A55" w:rsidRPr="00AC544F" w:rsidRDefault="00876A55" w:rsidP="00454E80">
      <w:pPr>
        <w:spacing w:after="0" w:line="240" w:lineRule="auto"/>
        <w:jc w:val="center"/>
        <w:outlineLvl w:val="0"/>
        <w:rPr>
          <w:rFonts w:ascii="Arial" w:eastAsia="Times New Roman" w:hAnsi="Arial" w:cs="Arial"/>
          <w:sz w:val="24"/>
          <w:szCs w:val="24"/>
        </w:rPr>
      </w:pPr>
    </w:p>
    <w:p w:rsidR="00454E80" w:rsidRPr="00AC544F" w:rsidRDefault="00454E80" w:rsidP="00454E80">
      <w:pPr>
        <w:spacing w:after="0" w:line="240" w:lineRule="auto"/>
        <w:jc w:val="center"/>
        <w:outlineLvl w:val="0"/>
        <w:rPr>
          <w:rFonts w:ascii="Arial" w:eastAsia="Times New Roman" w:hAnsi="Arial" w:cs="Arial"/>
          <w:b/>
          <w:smallCaps/>
          <w:sz w:val="28"/>
          <w:szCs w:val="28"/>
        </w:rPr>
      </w:pPr>
      <w:r w:rsidRPr="00AC544F">
        <w:rPr>
          <w:rFonts w:ascii="Arial" w:eastAsia="Times New Roman" w:hAnsi="Arial" w:cs="Arial"/>
          <w:b/>
          <w:smallCaps/>
          <w:sz w:val="28"/>
          <w:szCs w:val="28"/>
        </w:rPr>
        <w:t>To Learn More About the Health Council</w:t>
      </w:r>
    </w:p>
    <w:p w:rsidR="00454E80" w:rsidRPr="00AC544F" w:rsidRDefault="00454E80" w:rsidP="00454E80">
      <w:pPr>
        <w:spacing w:after="0" w:line="240" w:lineRule="auto"/>
        <w:jc w:val="center"/>
        <w:outlineLvl w:val="0"/>
        <w:rPr>
          <w:rFonts w:ascii="Arial" w:eastAsia="Times New Roman" w:hAnsi="Arial" w:cs="Arial"/>
          <w:b/>
          <w:smallCaps/>
          <w:sz w:val="24"/>
          <w:szCs w:val="24"/>
        </w:rPr>
      </w:pPr>
    </w:p>
    <w:p w:rsidR="00454E80" w:rsidRPr="00AC544F" w:rsidRDefault="00454E80" w:rsidP="00454E80">
      <w:pPr>
        <w:spacing w:after="0" w:line="240" w:lineRule="auto"/>
        <w:jc w:val="center"/>
        <w:outlineLvl w:val="0"/>
        <w:rPr>
          <w:rFonts w:ascii="Arial" w:eastAsia="Times New Roman" w:hAnsi="Arial" w:cs="Arial"/>
          <w:sz w:val="24"/>
          <w:szCs w:val="24"/>
        </w:rPr>
      </w:pPr>
      <w:r w:rsidRPr="00AC544F">
        <w:rPr>
          <w:rFonts w:ascii="Arial" w:eastAsia="Times New Roman" w:hAnsi="Arial" w:cs="Arial"/>
          <w:sz w:val="24"/>
          <w:szCs w:val="24"/>
        </w:rPr>
        <w:t>Visit our website</w:t>
      </w:r>
      <w:r w:rsidRPr="00AC544F">
        <w:rPr>
          <w:rFonts w:ascii="Arial" w:eastAsia="Times New Roman" w:hAnsi="Arial" w:cs="Arial"/>
          <w:smallCaps/>
          <w:sz w:val="24"/>
          <w:szCs w:val="24"/>
        </w:rPr>
        <w:t xml:space="preserve"> - </w:t>
      </w:r>
      <w:r w:rsidRPr="00AC544F">
        <w:rPr>
          <w:rFonts w:ascii="Arial" w:eastAsia="Times New Roman" w:hAnsi="Arial" w:cs="Arial"/>
          <w:sz w:val="24"/>
          <w:szCs w:val="24"/>
        </w:rPr>
        <w:t>www.SuncoastHealthCouncil.org</w:t>
      </w:r>
    </w:p>
    <w:p w:rsidR="00454E80" w:rsidRPr="00AC544F" w:rsidRDefault="00454E80" w:rsidP="00454E80">
      <w:pPr>
        <w:spacing w:after="0" w:line="240" w:lineRule="auto"/>
        <w:jc w:val="center"/>
        <w:outlineLvl w:val="0"/>
        <w:rPr>
          <w:rFonts w:ascii="Arial" w:eastAsia="Times New Roman" w:hAnsi="Arial" w:cs="Arial"/>
          <w:sz w:val="24"/>
          <w:szCs w:val="24"/>
        </w:rPr>
      </w:pPr>
    </w:p>
    <w:p w:rsidR="00454E80" w:rsidRPr="00AC544F" w:rsidRDefault="00454E80" w:rsidP="00454E80">
      <w:pPr>
        <w:spacing w:after="0" w:line="240" w:lineRule="auto"/>
        <w:jc w:val="center"/>
        <w:outlineLvl w:val="0"/>
        <w:rPr>
          <w:rFonts w:ascii="Arial" w:eastAsia="Times New Roman" w:hAnsi="Arial" w:cs="Arial"/>
          <w:sz w:val="24"/>
          <w:szCs w:val="24"/>
        </w:rPr>
      </w:pPr>
      <w:r w:rsidRPr="00AC544F">
        <w:rPr>
          <w:rFonts w:ascii="Arial" w:eastAsia="Times New Roman" w:hAnsi="Arial" w:cs="Arial"/>
          <w:sz w:val="24"/>
          <w:szCs w:val="24"/>
        </w:rPr>
        <w:t>Or Contact Us:</w:t>
      </w:r>
    </w:p>
    <w:p w:rsidR="00454E80" w:rsidRPr="00AC544F" w:rsidRDefault="00454E80" w:rsidP="00454E80">
      <w:pPr>
        <w:spacing w:after="0" w:line="240" w:lineRule="auto"/>
        <w:jc w:val="center"/>
        <w:outlineLvl w:val="0"/>
        <w:rPr>
          <w:rFonts w:ascii="Arial" w:eastAsia="Times New Roman" w:hAnsi="Arial" w:cs="Arial"/>
          <w:sz w:val="24"/>
          <w:szCs w:val="24"/>
        </w:rPr>
      </w:pPr>
    </w:p>
    <w:p w:rsidR="00454E80" w:rsidRPr="00AC544F" w:rsidRDefault="00454E80" w:rsidP="00454E80">
      <w:pPr>
        <w:spacing w:after="0" w:line="240" w:lineRule="auto"/>
        <w:jc w:val="center"/>
        <w:outlineLvl w:val="0"/>
        <w:rPr>
          <w:rFonts w:ascii="Arial" w:eastAsia="Times New Roman" w:hAnsi="Arial" w:cs="Arial"/>
          <w:sz w:val="24"/>
          <w:szCs w:val="24"/>
        </w:rPr>
      </w:pPr>
      <w:r w:rsidRPr="00AC544F">
        <w:rPr>
          <w:rFonts w:ascii="Arial" w:eastAsia="Times New Roman" w:hAnsi="Arial" w:cs="Arial"/>
          <w:sz w:val="24"/>
          <w:szCs w:val="24"/>
        </w:rPr>
        <w:t>Suncoast Health Council, Inc.</w:t>
      </w:r>
    </w:p>
    <w:p w:rsidR="00454E80" w:rsidRPr="00AC544F" w:rsidRDefault="00454E80" w:rsidP="00454E80">
      <w:pPr>
        <w:spacing w:after="0" w:line="240" w:lineRule="auto"/>
        <w:jc w:val="center"/>
        <w:outlineLvl w:val="0"/>
        <w:rPr>
          <w:rFonts w:ascii="Arial" w:eastAsia="Times New Roman" w:hAnsi="Arial" w:cs="Arial"/>
          <w:sz w:val="24"/>
          <w:szCs w:val="24"/>
        </w:rPr>
      </w:pPr>
      <w:smartTag w:uri="urn:schemas-microsoft-com:office:smarttags" w:element="Street">
        <w:smartTag w:uri="urn:schemas-microsoft-com:office:smarttags" w:element="address">
          <w:r w:rsidRPr="00AC544F">
            <w:rPr>
              <w:rFonts w:ascii="Arial" w:eastAsia="Times New Roman" w:hAnsi="Arial" w:cs="Arial"/>
              <w:sz w:val="24"/>
              <w:szCs w:val="24"/>
            </w:rPr>
            <w:t>9600 Koger Blvd., Suite 221</w:t>
          </w:r>
        </w:smartTag>
      </w:smartTag>
    </w:p>
    <w:p w:rsidR="00454E80" w:rsidRPr="00AC544F" w:rsidRDefault="00454E80" w:rsidP="00454E80">
      <w:pPr>
        <w:spacing w:after="0" w:line="240" w:lineRule="auto"/>
        <w:jc w:val="center"/>
        <w:outlineLvl w:val="0"/>
        <w:rPr>
          <w:rFonts w:ascii="Arial" w:eastAsia="Times New Roman" w:hAnsi="Arial" w:cs="Arial"/>
          <w:sz w:val="24"/>
          <w:szCs w:val="24"/>
        </w:rPr>
      </w:pPr>
      <w:smartTag w:uri="urn:schemas-microsoft-com:office:smarttags" w:element="place">
        <w:smartTag w:uri="urn:schemas-microsoft-com:office:smarttags" w:element="City">
          <w:r w:rsidRPr="00AC544F">
            <w:rPr>
              <w:rFonts w:ascii="Arial" w:eastAsia="Times New Roman" w:hAnsi="Arial" w:cs="Arial"/>
              <w:sz w:val="24"/>
              <w:szCs w:val="24"/>
            </w:rPr>
            <w:t>St. Petersburg</w:t>
          </w:r>
        </w:smartTag>
        <w:r w:rsidRPr="00AC544F">
          <w:rPr>
            <w:rFonts w:ascii="Arial" w:eastAsia="Times New Roman" w:hAnsi="Arial" w:cs="Arial"/>
            <w:sz w:val="24"/>
            <w:szCs w:val="24"/>
          </w:rPr>
          <w:t xml:space="preserve">, </w:t>
        </w:r>
        <w:smartTag w:uri="urn:schemas-microsoft-com:office:smarttags" w:element="State">
          <w:r w:rsidRPr="00AC544F">
            <w:rPr>
              <w:rFonts w:ascii="Arial" w:eastAsia="Times New Roman" w:hAnsi="Arial" w:cs="Arial"/>
              <w:sz w:val="24"/>
              <w:szCs w:val="24"/>
            </w:rPr>
            <w:t>FL</w:t>
          </w:r>
        </w:smartTag>
        <w:r w:rsidRPr="00AC544F">
          <w:rPr>
            <w:rFonts w:ascii="Arial" w:eastAsia="Times New Roman" w:hAnsi="Arial" w:cs="Arial"/>
            <w:sz w:val="24"/>
            <w:szCs w:val="24"/>
          </w:rPr>
          <w:t xml:space="preserve">  </w:t>
        </w:r>
        <w:smartTag w:uri="urn:schemas-microsoft-com:office:smarttags" w:element="PostalCode">
          <w:r w:rsidRPr="00AC544F">
            <w:rPr>
              <w:rFonts w:ascii="Arial" w:eastAsia="Times New Roman" w:hAnsi="Arial" w:cs="Arial"/>
              <w:sz w:val="24"/>
              <w:szCs w:val="24"/>
            </w:rPr>
            <w:t>33702</w:t>
          </w:r>
        </w:smartTag>
      </w:smartTag>
    </w:p>
    <w:p w:rsidR="00454E80" w:rsidRPr="00AC544F" w:rsidRDefault="00454E80" w:rsidP="00454E80">
      <w:pPr>
        <w:spacing w:after="0" w:line="240" w:lineRule="auto"/>
        <w:jc w:val="center"/>
        <w:outlineLvl w:val="0"/>
        <w:rPr>
          <w:rFonts w:ascii="Arial" w:eastAsia="Times New Roman" w:hAnsi="Arial" w:cs="Arial"/>
          <w:sz w:val="24"/>
          <w:szCs w:val="24"/>
        </w:rPr>
      </w:pPr>
      <w:r w:rsidRPr="00AC544F">
        <w:rPr>
          <w:rFonts w:ascii="Arial" w:eastAsia="Times New Roman" w:hAnsi="Arial" w:cs="Arial"/>
          <w:sz w:val="24"/>
          <w:szCs w:val="24"/>
        </w:rPr>
        <w:t>727-217-7070</w:t>
      </w:r>
    </w:p>
    <w:p w:rsidR="00454E80" w:rsidRPr="00AC544F" w:rsidRDefault="00454E80" w:rsidP="00454E80">
      <w:pPr>
        <w:spacing w:after="0" w:line="240" w:lineRule="auto"/>
        <w:jc w:val="center"/>
        <w:outlineLvl w:val="0"/>
        <w:rPr>
          <w:rFonts w:ascii="Arial" w:eastAsia="Times New Roman" w:hAnsi="Arial" w:cs="Arial"/>
          <w:sz w:val="24"/>
          <w:szCs w:val="24"/>
        </w:rPr>
        <w:sectPr w:rsidR="00454E80" w:rsidRPr="00AC544F" w:rsidSect="00467B4C">
          <w:headerReference w:type="default" r:id="rId9"/>
          <w:footerReference w:type="default" r:id="rId10"/>
          <w:pgSz w:w="12240" w:h="15840"/>
          <w:pgMar w:top="1440" w:right="1440" w:bottom="1440" w:left="1440" w:header="720" w:footer="720" w:gutter="0"/>
          <w:pgNumType w:start="1"/>
          <w:cols w:space="720"/>
          <w:docGrid w:linePitch="360"/>
        </w:sectPr>
      </w:pPr>
      <w:r w:rsidRPr="00AC544F">
        <w:rPr>
          <w:rFonts w:ascii="Arial" w:eastAsia="Times New Roman" w:hAnsi="Arial" w:cs="Arial"/>
          <w:sz w:val="24"/>
          <w:szCs w:val="24"/>
        </w:rPr>
        <w:t>727-570-3033 (Fax)</w:t>
      </w: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noProof/>
          <w:color w:val="000000"/>
          <w:w w:val="97"/>
          <w:sz w:val="24"/>
          <w:szCs w:val="24"/>
        </w:rPr>
        <w:lastRenderedPageBreak/>
        <w:drawing>
          <wp:inline distT="0" distB="0" distL="0" distR="0" wp14:anchorId="465C1ABA" wp14:editId="567A3D64">
            <wp:extent cx="1323975" cy="1485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485900"/>
                    </a:xfrm>
                    <a:prstGeom prst="rect">
                      <a:avLst/>
                    </a:prstGeom>
                    <a:noFill/>
                    <a:ln>
                      <a:noFill/>
                    </a:ln>
                  </pic:spPr>
                </pic:pic>
              </a:graphicData>
            </a:graphic>
          </wp:inline>
        </w:drawing>
      </w: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
          <w:bCs/>
          <w:color w:val="000000"/>
          <w:w w:val="97"/>
          <w:sz w:val="24"/>
          <w:szCs w:val="24"/>
        </w:rPr>
      </w:pPr>
      <w:r w:rsidRPr="00AC544F">
        <w:rPr>
          <w:rFonts w:ascii="Arial" w:eastAsia="Times New Roman" w:hAnsi="Arial" w:cs="Arial"/>
          <w:b/>
          <w:bCs/>
          <w:color w:val="000000"/>
          <w:w w:val="97"/>
          <w:sz w:val="24"/>
          <w:szCs w:val="24"/>
        </w:rPr>
        <w:t>WEST CENTRAL FLORIDA RYAN WHITE CARE COUNCIL</w:t>
      </w: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bCs/>
          <w:color w:val="000000"/>
          <w:w w:val="97"/>
          <w:sz w:val="24"/>
          <w:szCs w:val="24"/>
        </w:rPr>
        <w:t>Mission Statement</w:t>
      </w: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We are a planning body that assesses needs, plans, allocates resources, and evaluates HIV/AIDS services to improve the lives of those infected and affected.</w:t>
      </w:r>
    </w:p>
    <w:p w:rsidR="00156703" w:rsidRPr="00AC544F" w:rsidRDefault="00156703" w:rsidP="00156703">
      <w:pPr>
        <w:widowControl w:val="0"/>
        <w:autoSpaceDE w:val="0"/>
        <w:autoSpaceDN w:val="0"/>
        <w:adjustRightInd w:val="0"/>
        <w:spacing w:after="0" w:line="240" w:lineRule="auto"/>
        <w:rPr>
          <w:rFonts w:ascii="Arial" w:eastAsia="Times New Roman" w:hAnsi="Arial" w:cs="Arial"/>
          <w:color w:val="000000"/>
          <w:w w:val="97"/>
          <w:sz w:val="24"/>
          <w:szCs w:val="24"/>
        </w:rPr>
      </w:pPr>
    </w:p>
    <w:p w:rsidR="00156703" w:rsidRPr="00AC544F" w:rsidRDefault="00156703" w:rsidP="00156703">
      <w:pPr>
        <w:widowControl w:val="0"/>
        <w:autoSpaceDE w:val="0"/>
        <w:autoSpaceDN w:val="0"/>
        <w:adjustRightInd w:val="0"/>
        <w:spacing w:after="0" w:line="240" w:lineRule="auto"/>
        <w:rPr>
          <w:rFonts w:ascii="Arial" w:eastAsia="Times New Roman" w:hAnsi="Arial" w:cs="Arial"/>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Members</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885AD0">
      <w:pPr>
        <w:widowControl w:val="0"/>
        <w:autoSpaceDE w:val="0"/>
        <w:autoSpaceDN w:val="0"/>
        <w:adjustRightInd w:val="0"/>
        <w:spacing w:after="0" w:line="240" w:lineRule="auto"/>
        <w:rPr>
          <w:rFonts w:ascii="Arial" w:eastAsia="Times New Roman" w:hAnsi="Arial" w:cs="Arial"/>
          <w:bCs/>
          <w:color w:val="000000"/>
          <w:w w:val="97"/>
          <w:sz w:val="24"/>
          <w:szCs w:val="24"/>
        </w:rPr>
      </w:pP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sectPr w:rsidR="00885AD0" w:rsidRPr="00AC544F" w:rsidSect="00156703">
          <w:pgSz w:w="12240" w:h="15840" w:code="1"/>
          <w:pgMar w:top="720" w:right="1008" w:bottom="720" w:left="1008" w:header="720" w:footer="720" w:gutter="0"/>
          <w:pgNumType w:start="1" w:chapSep="period"/>
          <w:cols w:space="720"/>
          <w:noEndnote/>
          <w:docGrid w:linePitch="246"/>
        </w:sectPr>
      </w:pPr>
    </w:p>
    <w:p w:rsidR="00166FD6" w:rsidRDefault="00166FD6"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Pr>
          <w:rFonts w:ascii="Arial" w:eastAsia="Times New Roman" w:hAnsi="Arial" w:cs="Arial"/>
          <w:bCs/>
          <w:color w:val="000000"/>
          <w:w w:val="97"/>
          <w:sz w:val="24"/>
          <w:szCs w:val="24"/>
        </w:rPr>
        <w:lastRenderedPageBreak/>
        <w:t>Antuan Butler</w:t>
      </w:r>
    </w:p>
    <w:p w:rsidR="00156703"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Martin Clemmons, Jr.</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Lisa Conder</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Paula Delgado</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Eda Dugas</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Tonicia Freeman-Foster</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Brandi Geoit</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Kirsty Gutierrez</w:t>
      </w:r>
    </w:p>
    <w:p w:rsidR="00885AD0"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Charlie Hughes</w:t>
      </w:r>
    </w:p>
    <w:p w:rsidR="00166FD6" w:rsidRPr="00AC544F" w:rsidRDefault="00166FD6"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Pr>
          <w:rFonts w:ascii="Arial" w:eastAsia="Times New Roman" w:hAnsi="Arial" w:cs="Arial"/>
          <w:bCs/>
          <w:color w:val="000000"/>
          <w:w w:val="97"/>
          <w:sz w:val="24"/>
          <w:szCs w:val="24"/>
        </w:rPr>
        <w:t>Joyce Johnson</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Riley Johnson</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Dave Konnerth</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Kamaria Laffrey</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lastRenderedPageBreak/>
        <w:t>Maribel Martinez</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Bernard Messier</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Kimberly Molnar</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Sherri Montiy</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Alice Prendergast</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Guttenberg Pierre, Jr.</w:t>
      </w:r>
    </w:p>
    <w:p w:rsidR="00885AD0"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Pamela Sabella</w:t>
      </w:r>
    </w:p>
    <w:p w:rsidR="00AC40F5" w:rsidRDefault="00AC40F5" w:rsidP="00AC40F5">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Pr>
          <w:rFonts w:ascii="Arial" w:eastAsia="Times New Roman" w:hAnsi="Arial" w:cs="Arial"/>
          <w:bCs/>
          <w:color w:val="000000"/>
          <w:w w:val="97"/>
          <w:sz w:val="24"/>
          <w:szCs w:val="24"/>
        </w:rPr>
        <w:t>Michael Sodano</w:t>
      </w:r>
    </w:p>
    <w:p w:rsidR="00166FD6" w:rsidRPr="00AC544F" w:rsidRDefault="00166FD6" w:rsidP="00AC40F5">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Pr>
          <w:rFonts w:ascii="Arial" w:eastAsia="Times New Roman" w:hAnsi="Arial" w:cs="Arial"/>
          <w:bCs/>
          <w:color w:val="000000"/>
          <w:w w:val="97"/>
          <w:sz w:val="24"/>
          <w:szCs w:val="24"/>
        </w:rPr>
        <w:t>Debbie Stephey</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Barbara Szelag</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Dean Underwood</w:t>
      </w:r>
    </w:p>
    <w:p w:rsidR="00885AD0"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Bernard Washington</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sectPr w:rsidR="00885AD0" w:rsidRPr="00AC544F" w:rsidSect="00885AD0">
          <w:type w:val="continuous"/>
          <w:pgSz w:w="12240" w:h="15840" w:code="1"/>
          <w:pgMar w:top="720" w:right="1008" w:bottom="720" w:left="1008" w:header="720" w:footer="720" w:gutter="0"/>
          <w:pgNumType w:start="1" w:chapSep="period"/>
          <w:cols w:num="2" w:space="720"/>
          <w:noEndnote/>
          <w:docGrid w:linePitch="246"/>
        </w:sect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156703">
      <w:pPr>
        <w:widowControl w:val="0"/>
        <w:autoSpaceDE w:val="0"/>
        <w:autoSpaceDN w:val="0"/>
        <w:adjustRightInd w:val="0"/>
        <w:spacing w:after="0" w:line="240" w:lineRule="auto"/>
        <w:jc w:val="both"/>
        <w:rPr>
          <w:rFonts w:ascii="Arial" w:eastAsia="Times New Roman" w:hAnsi="Arial" w:cs="Arial"/>
          <w:bCs/>
          <w:color w:val="000000"/>
          <w:w w:val="97"/>
          <w:sz w:val="24"/>
          <w:szCs w:val="24"/>
        </w:rPr>
        <w:sectPr w:rsidR="00156703" w:rsidRPr="00AC544F" w:rsidSect="00885AD0">
          <w:type w:val="continuous"/>
          <w:pgSz w:w="12240" w:h="15840" w:code="1"/>
          <w:pgMar w:top="720" w:right="1008" w:bottom="720" w:left="1008" w:header="720" w:footer="720" w:gutter="0"/>
          <w:pgNumType w:start="1" w:chapSep="period"/>
          <w:cols w:space="720"/>
          <w:noEndnote/>
          <w:docGrid w:linePitch="246"/>
        </w:sectPr>
      </w:pPr>
    </w:p>
    <w:p w:rsidR="00156703" w:rsidRPr="00AC544F" w:rsidRDefault="00156703" w:rsidP="00156703">
      <w:pPr>
        <w:widowControl w:val="0"/>
        <w:autoSpaceDE w:val="0"/>
        <w:autoSpaceDN w:val="0"/>
        <w:adjustRightInd w:val="0"/>
        <w:spacing w:after="0" w:line="240" w:lineRule="auto"/>
        <w:rPr>
          <w:rFonts w:ascii="Arial" w:eastAsia="Times New Roman" w:hAnsi="Arial" w:cs="Arial"/>
          <w:color w:val="000000"/>
          <w:w w:val="97"/>
          <w:sz w:val="24"/>
          <w:szCs w:val="24"/>
        </w:rPr>
        <w:sectPr w:rsidR="00156703" w:rsidRPr="00AC544F" w:rsidSect="00156703">
          <w:type w:val="continuous"/>
          <w:pgSz w:w="12240" w:h="15840" w:code="1"/>
          <w:pgMar w:top="720" w:right="1008" w:bottom="720" w:left="1008" w:header="720" w:footer="720" w:gutter="0"/>
          <w:pgNumType w:start="1" w:chapSep="period"/>
          <w:cols w:space="720"/>
          <w:noEndnote/>
          <w:docGrid w:linePitch="246"/>
        </w:sectPr>
      </w:pPr>
      <w:r w:rsidRPr="00AC544F">
        <w:rPr>
          <w:rFonts w:ascii="Arial" w:eastAsia="Times New Roman" w:hAnsi="Arial" w:cs="Arial"/>
          <w:color w:val="000000"/>
          <w:w w:val="97"/>
          <w:sz w:val="24"/>
          <w:szCs w:val="24"/>
        </w:rPr>
        <w:lastRenderedPageBreak/>
        <w:t>Produced on behalf of The Ryan White Care Council under contract with the Health Care Services Department within the Human Services of Hillsborough County; Ryan White Program. Funded by HRSA and the State of Florida, Department of Health.</w:t>
      </w:r>
    </w:p>
    <w:p w:rsidR="004225A2" w:rsidRPr="00AC544F" w:rsidRDefault="004225A2" w:rsidP="004225A2">
      <w:pPr>
        <w:rPr>
          <w:rFonts w:ascii="Arial" w:hAnsi="Arial" w:cs="Arial"/>
          <w:b/>
          <w:color w:val="000000" w:themeColor="text1"/>
          <w:sz w:val="24"/>
          <w:szCs w:val="24"/>
        </w:rPr>
      </w:pPr>
      <w:r w:rsidRPr="00AC544F">
        <w:rPr>
          <w:rFonts w:ascii="Arial" w:hAnsi="Arial" w:cs="Arial"/>
          <w:b/>
          <w:color w:val="000000" w:themeColor="text1"/>
          <w:sz w:val="24"/>
          <w:szCs w:val="24"/>
        </w:rPr>
        <w:lastRenderedPageBreak/>
        <w:t>INTRODUCTION</w:t>
      </w:r>
    </w:p>
    <w:p w:rsidR="004225A2" w:rsidRPr="00AC544F" w:rsidRDefault="004225A2" w:rsidP="00454E80">
      <w:pPr>
        <w:spacing w:after="0" w:line="240" w:lineRule="auto"/>
        <w:jc w:val="both"/>
        <w:rPr>
          <w:rFonts w:ascii="Arial" w:hAnsi="Arial" w:cs="Arial"/>
          <w:sz w:val="24"/>
          <w:szCs w:val="24"/>
        </w:rPr>
      </w:pPr>
      <w:r w:rsidRPr="00AC544F">
        <w:rPr>
          <w:rFonts w:ascii="Arial" w:hAnsi="Arial" w:cs="Arial"/>
          <w:sz w:val="24"/>
          <w:szCs w:val="24"/>
        </w:rPr>
        <w:t>The Tampa</w:t>
      </w:r>
      <w:r w:rsidRPr="00AC544F">
        <w:rPr>
          <w:rFonts w:ascii="Arial" w:hAnsi="Arial" w:cs="Arial"/>
          <w:b/>
          <w:sz w:val="24"/>
          <w:szCs w:val="24"/>
        </w:rPr>
        <w:t>-</w:t>
      </w:r>
      <w:r w:rsidRPr="00AC544F">
        <w:rPr>
          <w:rFonts w:ascii="Arial" w:hAnsi="Arial" w:cs="Arial"/>
          <w:sz w:val="24"/>
          <w:szCs w:val="24"/>
        </w:rPr>
        <w:t xml:space="preserve">St. Petersburg Eligible Metropolitan Area (EMA), located on the west central coast of Florida, is comprised of Hernando, Hillsborough, Pasco, and Pinellas Counties. The EMA utilizes Ryan White HIV/AIDS Program (RWHAP) Part A grant funds in support of a comprehensive continuum of high-quality care and treatment for people living with HIV/AIDS (PLWHA) in the service area. </w:t>
      </w:r>
    </w:p>
    <w:p w:rsidR="004225A2" w:rsidRPr="00AC544F" w:rsidRDefault="004225A2" w:rsidP="004225A2">
      <w:pPr>
        <w:widowControl w:val="0"/>
        <w:autoSpaceDE w:val="0"/>
        <w:autoSpaceDN w:val="0"/>
        <w:adjustRightInd w:val="0"/>
        <w:spacing w:after="0" w:line="240" w:lineRule="auto"/>
        <w:jc w:val="both"/>
        <w:rPr>
          <w:rFonts w:ascii="Arial" w:hAnsi="Arial" w:cs="Arial"/>
          <w:sz w:val="24"/>
          <w:szCs w:val="24"/>
        </w:rPr>
      </w:pPr>
    </w:p>
    <w:p w:rsidR="004225A2" w:rsidRPr="00AC544F" w:rsidRDefault="004225A2" w:rsidP="00454E80">
      <w:pPr>
        <w:widowControl w:val="0"/>
        <w:autoSpaceDE w:val="0"/>
        <w:autoSpaceDN w:val="0"/>
        <w:adjustRightInd w:val="0"/>
        <w:spacing w:after="0" w:line="240" w:lineRule="auto"/>
        <w:jc w:val="both"/>
        <w:rPr>
          <w:rFonts w:ascii="Arial" w:hAnsi="Arial" w:cs="Arial"/>
          <w:i/>
          <w:sz w:val="24"/>
          <w:szCs w:val="24"/>
        </w:rPr>
      </w:pPr>
      <w:r w:rsidRPr="00AC544F">
        <w:rPr>
          <w:rFonts w:ascii="Arial" w:hAnsi="Arial" w:cs="Arial"/>
          <w:sz w:val="24"/>
          <w:szCs w:val="24"/>
        </w:rPr>
        <w:t xml:space="preserve">The purpose of this project is to achieve the goals as defined in the National HIV/AIDS Strategy (NHAS) and to facilitate, support, and execute the mission of the West Central Florida Ryan White Care Council (herein referred to as Planning Council): </w:t>
      </w:r>
      <w:r w:rsidRPr="00AC544F">
        <w:rPr>
          <w:rFonts w:ascii="Arial" w:hAnsi="Arial" w:cs="Arial"/>
          <w:i/>
          <w:sz w:val="24"/>
          <w:szCs w:val="24"/>
        </w:rPr>
        <w:t>The Care Council is a planning body (of dedicated volunteers) that assesses needs, plans, allocates resources, and evaluates HIV/AIDS services to improve the lives of those infected and affected.</w:t>
      </w:r>
    </w:p>
    <w:p w:rsidR="004225A2" w:rsidRPr="00AC544F" w:rsidRDefault="004225A2" w:rsidP="004225A2">
      <w:pPr>
        <w:widowControl w:val="0"/>
        <w:autoSpaceDE w:val="0"/>
        <w:autoSpaceDN w:val="0"/>
        <w:adjustRightInd w:val="0"/>
        <w:spacing w:after="0" w:line="240" w:lineRule="auto"/>
        <w:jc w:val="both"/>
        <w:rPr>
          <w:rFonts w:ascii="Arial" w:hAnsi="Arial" w:cs="Arial"/>
          <w:sz w:val="24"/>
          <w:szCs w:val="24"/>
        </w:rPr>
      </w:pPr>
    </w:p>
    <w:p w:rsidR="004225A2" w:rsidRPr="00AC544F" w:rsidRDefault="004225A2" w:rsidP="004225A2">
      <w:pPr>
        <w:spacing w:line="240" w:lineRule="auto"/>
        <w:rPr>
          <w:rFonts w:ascii="Arial" w:hAnsi="Arial" w:cs="Arial"/>
          <w:b/>
          <w:color w:val="000000" w:themeColor="text1"/>
          <w:sz w:val="24"/>
          <w:szCs w:val="24"/>
        </w:rPr>
      </w:pPr>
      <w:r w:rsidRPr="00AC544F">
        <w:rPr>
          <w:rFonts w:ascii="Arial" w:hAnsi="Arial" w:cs="Arial"/>
          <w:b/>
          <w:caps/>
          <w:color w:val="000000" w:themeColor="text1"/>
          <w:sz w:val="24"/>
          <w:szCs w:val="24"/>
        </w:rPr>
        <w:t xml:space="preserve">Epidemiology </w:t>
      </w:r>
      <w:r w:rsidRPr="00AC544F">
        <w:rPr>
          <w:rFonts w:ascii="Arial" w:hAnsi="Arial" w:cs="Arial"/>
          <w:b/>
          <w:color w:val="000000" w:themeColor="text1"/>
          <w:sz w:val="24"/>
          <w:szCs w:val="24"/>
        </w:rPr>
        <w:t>OVERVIEW</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b/>
          <w:noProof/>
          <w:color w:val="000000" w:themeColor="text1"/>
          <w:sz w:val="24"/>
          <w:szCs w:val="24"/>
        </w:rPr>
        <mc:AlternateContent>
          <mc:Choice Requires="wps">
            <w:drawing>
              <wp:anchor distT="0" distB="0" distL="114300" distR="114300" simplePos="0" relativeHeight="251659264" behindDoc="0" locked="0" layoutInCell="1" allowOverlap="1" wp14:anchorId="2A920DC8" wp14:editId="40276D13">
                <wp:simplePos x="0" y="0"/>
                <wp:positionH relativeFrom="column">
                  <wp:posOffset>1714500</wp:posOffset>
                </wp:positionH>
                <wp:positionV relativeFrom="paragraph">
                  <wp:posOffset>689610</wp:posOffset>
                </wp:positionV>
                <wp:extent cx="2386013" cy="5461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2386013" cy="546100"/>
                        </a:xfrm>
                        <a:prstGeom prst="rect">
                          <a:avLst/>
                        </a:prstGeom>
                        <a:noFill/>
                        <a:ln w="6350">
                          <a:noFill/>
                        </a:ln>
                        <a:effectLst/>
                      </wps:spPr>
                      <wps:txbx>
                        <w:txbxContent>
                          <w:p w:rsidR="004225A2" w:rsidRPr="00265EA5" w:rsidRDefault="004225A2" w:rsidP="004225A2">
                            <w:pPr>
                              <w:spacing w:after="0" w:line="240" w:lineRule="auto"/>
                              <w:jc w:val="center"/>
                              <w:rPr>
                                <w:rFonts w:ascii="Times Roman" w:hAnsi="Times Roman"/>
                                <w:sz w:val="20"/>
                                <w:szCs w:val="20"/>
                              </w:rPr>
                            </w:pPr>
                            <w:r>
                              <w:rPr>
                                <w:rFonts w:ascii="Times Roman" w:hAnsi="Times Roman"/>
                                <w:sz w:val="20"/>
                                <w:szCs w:val="20"/>
                              </w:rPr>
                              <w:t>Tampa-</w:t>
                            </w:r>
                            <w:r w:rsidRPr="00265EA5">
                              <w:rPr>
                                <w:rFonts w:ascii="Times Roman" w:hAnsi="Times Roman"/>
                                <w:sz w:val="20"/>
                                <w:szCs w:val="20"/>
                              </w:rPr>
                              <w:t>St. Petersburg EMA</w:t>
                            </w:r>
                          </w:p>
                          <w:p w:rsidR="004225A2" w:rsidRPr="00265EA5" w:rsidRDefault="004225A2" w:rsidP="004225A2">
                            <w:pPr>
                              <w:spacing w:after="0" w:line="240" w:lineRule="auto"/>
                              <w:jc w:val="center"/>
                              <w:rPr>
                                <w:rFonts w:ascii="Times Roman" w:hAnsi="Times Roman"/>
                                <w:sz w:val="20"/>
                                <w:szCs w:val="20"/>
                              </w:rPr>
                            </w:pPr>
                            <w:r w:rsidRPr="00265EA5">
                              <w:rPr>
                                <w:rFonts w:ascii="Times Roman" w:hAnsi="Times Roman"/>
                                <w:sz w:val="20"/>
                                <w:szCs w:val="20"/>
                              </w:rPr>
                              <w:t>Geographic Layout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54.3pt;width:187.9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" filled="f" stroked="f" strokeweight=".5pt">
                <v:textbox>
                  <w:txbxContent>
                    <w:p w:rsidR="004225A2" w:rsidRPr="00265EA5" w:rsidRDefault="004225A2" w:rsidP="004225A2">
                      <w:pPr>
                        <w:spacing w:after="0" w:line="240" w:lineRule="auto"/>
                        <w:jc w:val="center"/>
                        <w:rPr>
                          <w:rFonts w:ascii="Times Roman" w:hAnsi="Times Roman"/>
                          <w:sz w:val="20"/>
                          <w:szCs w:val="20"/>
                        </w:rPr>
                      </w:pPr>
                      <w:r>
                        <w:rPr>
                          <w:rFonts w:ascii="Times Roman" w:hAnsi="Times Roman"/>
                          <w:sz w:val="20"/>
                          <w:szCs w:val="20"/>
                        </w:rPr>
                        <w:t>Tampa-</w:t>
                      </w:r>
                      <w:r w:rsidRPr="00265EA5">
                        <w:rPr>
                          <w:rFonts w:ascii="Times Roman" w:hAnsi="Times Roman"/>
                          <w:sz w:val="20"/>
                          <w:szCs w:val="20"/>
                        </w:rPr>
                        <w:t>St. Petersburg EMA</w:t>
                      </w:r>
                    </w:p>
                    <w:p w:rsidR="004225A2" w:rsidRPr="00265EA5" w:rsidRDefault="004225A2" w:rsidP="004225A2">
                      <w:pPr>
                        <w:spacing w:after="0" w:line="240" w:lineRule="auto"/>
                        <w:jc w:val="center"/>
                        <w:rPr>
                          <w:rFonts w:ascii="Times Roman" w:hAnsi="Times Roman"/>
                          <w:sz w:val="20"/>
                          <w:szCs w:val="20"/>
                        </w:rPr>
                      </w:pPr>
                      <w:r w:rsidRPr="00265EA5">
                        <w:rPr>
                          <w:rFonts w:ascii="Times Roman" w:hAnsi="Times Roman"/>
                          <w:sz w:val="20"/>
                          <w:szCs w:val="20"/>
                        </w:rPr>
                        <w:t>Geographic Layout</w:t>
                      </w:r>
                    </w:p>
                  </w:txbxContent>
                </v:textbox>
              </v:shape>
            </w:pict>
          </mc:Fallback>
        </mc:AlternateContent>
      </w:r>
      <w:r w:rsidRPr="00AC544F">
        <w:rPr>
          <w:rFonts w:ascii="Arial" w:hAnsi="Arial" w:cs="Arial"/>
          <w:color w:val="000000" w:themeColor="text1"/>
          <w:sz w:val="24"/>
          <w:szCs w:val="24"/>
        </w:rPr>
        <w:t xml:space="preserve">1) The Tampa-St. Petersburg Eligible Metropolitan Area (EMA)’s total population is approximately 2.9 million, of which 66% are White (non-Hispanic), 17% are Hispanic and 12% are Black (non-Hispanic). Women represent 51.5% of the total population. The image below depicts the geographic layout of the EMA. </w:t>
      </w:r>
    </w:p>
    <w:p w:rsidR="004225A2" w:rsidRPr="00AC544F" w:rsidRDefault="004225A2" w:rsidP="004225A2">
      <w:pPr>
        <w:rPr>
          <w:rFonts w:ascii="Arial" w:hAnsi="Arial" w:cs="Arial"/>
          <w:b/>
          <w:color w:val="8064A2" w:themeColor="accent4"/>
          <w:sz w:val="24"/>
          <w:szCs w:val="24"/>
        </w:rPr>
      </w:pPr>
      <w:r w:rsidRPr="00AC544F">
        <w:rPr>
          <w:rFonts w:ascii="Arial" w:hAnsi="Arial" w:cs="Arial"/>
          <w:b/>
          <w:color w:val="8064A2" w:themeColor="accent4"/>
          <w:sz w:val="24"/>
          <w:szCs w:val="24"/>
        </w:rPr>
        <w:t xml:space="preserve"> </w:t>
      </w:r>
    </w:p>
    <w:p w:rsidR="004225A2" w:rsidRPr="00AC544F" w:rsidRDefault="004225A2" w:rsidP="004225A2">
      <w:pPr>
        <w:jc w:val="center"/>
        <w:rPr>
          <w:rFonts w:ascii="Arial" w:hAnsi="Arial" w:cs="Arial"/>
          <w:sz w:val="24"/>
          <w:szCs w:val="24"/>
        </w:rPr>
      </w:pPr>
      <w:r w:rsidRPr="00AC544F">
        <w:rPr>
          <w:rFonts w:ascii="Arial" w:hAnsi="Arial" w:cs="Arial"/>
          <w:noProof/>
          <w:sz w:val="24"/>
          <w:szCs w:val="24"/>
        </w:rPr>
        <w:drawing>
          <wp:inline distT="0" distB="0" distL="0" distR="0" wp14:anchorId="43904D51" wp14:editId="11F2E6FC">
            <wp:extent cx="1727694"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8404" cy="1638973"/>
                    </a:xfrm>
                    <a:prstGeom prst="rect">
                      <a:avLst/>
                    </a:prstGeom>
                    <a:noFill/>
                    <a:ln>
                      <a:noFill/>
                    </a:ln>
                  </pic:spPr>
                </pic:pic>
              </a:graphicData>
            </a:graphic>
          </wp:inline>
        </w:drawing>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The following data provides a description of the sociodemographic, geographic, behavioral, and clinical characteristics of persons newly diagnosed with HIV and persons at higher risk for infection. This information is used by the local area to set priorities, identify interventions and services, and to allocate resources to HIV prevention and care. This epidemiologic overview focuses on the most recent year for which data is available with five year trend data as appropriate. </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The socioeconomic status of individuals living in the EMA varies throughout the four county area. According to the American Community Survey, in 2014 the median household income of residents living in Hillsborough ($50,122) and Hernando Counties ($40,457) has a wide range while the median household income of Pinellas ($45,574) and Pasco Counties ($44,518) show less variability. The percentage of individuals living below the federal poverty level ranges from 14.3% in Pasco County to 17.2% in </w:t>
      </w:r>
      <w:r w:rsidRPr="00AC544F">
        <w:rPr>
          <w:rFonts w:ascii="Arial" w:hAnsi="Arial" w:cs="Arial"/>
          <w:color w:val="000000" w:themeColor="text1"/>
          <w:sz w:val="24"/>
          <w:szCs w:val="24"/>
        </w:rPr>
        <w:lastRenderedPageBreak/>
        <w:t xml:space="preserve">Hillsborough County. The percentage of adults in each county who have any type of health insurance ranges from 82.3% in Hillsborough to 84.2% in Pasco. The percentage of EMA residents over the age of 25 with a high school diploma or higher ranges from 89.4% of residents in Pinellas County to 86.6% in Hernando County. The percentage of persons over the age of 25 who possess a bachelor’s degree or higher ranges from 15.7% in Hernando County to 29.8% in Hillsborough County. </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According to the Florida Department of Health’s Epidemiological Profile, the incidence of HIV in the EMA rose 19% since 2011. New cases of AIDS increased 12% since 2011. The most common mode of transmission for HIV and AIDS in the EMA was men who have sex with men (MSM) followed by heterosexual transmission, and injection drug use (IDU). </w:t>
      </w:r>
    </w:p>
    <w:p w:rsidR="004225A2" w:rsidRPr="00AC544F" w:rsidRDefault="004225A2" w:rsidP="004225A2">
      <w:pPr>
        <w:tabs>
          <w:tab w:val="left" w:pos="3525"/>
        </w:tabs>
        <w:spacing w:after="0" w:line="240" w:lineRule="auto"/>
        <w:jc w:val="center"/>
        <w:rPr>
          <w:rFonts w:ascii="Arial" w:hAnsi="Arial" w:cs="Arial"/>
          <w:b/>
          <w:sz w:val="24"/>
          <w:szCs w:val="24"/>
        </w:rPr>
      </w:pPr>
      <w:r w:rsidRPr="00AC544F">
        <w:rPr>
          <w:rFonts w:ascii="Arial" w:hAnsi="Arial" w:cs="Arial"/>
          <w:b/>
          <w:sz w:val="24"/>
          <w:szCs w:val="24"/>
        </w:rPr>
        <w:t>Figure 1: Tampa/St. Petersburg EMA Epidemiological Profile</w:t>
      </w:r>
    </w:p>
    <w:tbl>
      <w:tblPr>
        <w:tblW w:w="11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018"/>
        <w:gridCol w:w="1062"/>
        <w:gridCol w:w="1286"/>
        <w:gridCol w:w="1128"/>
        <w:gridCol w:w="1019"/>
        <w:gridCol w:w="1128"/>
        <w:gridCol w:w="1019"/>
        <w:gridCol w:w="1128"/>
        <w:gridCol w:w="1019"/>
        <w:gridCol w:w="1128"/>
      </w:tblGrid>
      <w:tr w:rsidR="004225A2" w:rsidRPr="00AC544F" w:rsidTr="00EB6EAC">
        <w:trPr>
          <w:trHeight w:val="238"/>
          <w:jc w:val="center"/>
        </w:trPr>
        <w:tc>
          <w:tcPr>
            <w:tcW w:w="914" w:type="dxa"/>
            <w:vMerge w:val="restart"/>
            <w:shd w:val="clear" w:color="auto" w:fill="auto"/>
            <w:vAlign w:val="center"/>
          </w:tcPr>
          <w:p w:rsidR="004225A2" w:rsidRPr="00AC544F" w:rsidRDefault="004225A2" w:rsidP="00EB6EAC">
            <w:pPr>
              <w:spacing w:after="0" w:line="240" w:lineRule="auto"/>
              <w:rPr>
                <w:rFonts w:ascii="Arial" w:hAnsi="Arial" w:cs="Arial"/>
                <w:sz w:val="16"/>
                <w:szCs w:val="16"/>
              </w:rPr>
            </w:pPr>
          </w:p>
        </w:tc>
        <w:tc>
          <w:tcPr>
            <w:tcW w:w="1843" w:type="dxa"/>
            <w:gridSpan w:val="2"/>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CY 2011</w:t>
            </w:r>
          </w:p>
        </w:tc>
        <w:tc>
          <w:tcPr>
            <w:tcW w:w="2517" w:type="dxa"/>
            <w:gridSpan w:val="2"/>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CY 2012</w:t>
            </w:r>
          </w:p>
        </w:tc>
        <w:tc>
          <w:tcPr>
            <w:tcW w:w="2180" w:type="dxa"/>
            <w:gridSpan w:val="2"/>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CY 2013</w:t>
            </w:r>
          </w:p>
        </w:tc>
        <w:tc>
          <w:tcPr>
            <w:tcW w:w="2180" w:type="dxa"/>
            <w:gridSpan w:val="2"/>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CY 2014</w:t>
            </w:r>
          </w:p>
        </w:tc>
        <w:tc>
          <w:tcPr>
            <w:tcW w:w="2180" w:type="dxa"/>
            <w:gridSpan w:val="2"/>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CY 2015</w:t>
            </w:r>
          </w:p>
        </w:tc>
      </w:tr>
      <w:tr w:rsidR="004225A2" w:rsidRPr="00AC544F" w:rsidTr="00EB6EAC">
        <w:trPr>
          <w:trHeight w:val="256"/>
          <w:jc w:val="center"/>
        </w:trPr>
        <w:tc>
          <w:tcPr>
            <w:tcW w:w="914" w:type="dxa"/>
            <w:vMerge/>
            <w:shd w:val="clear" w:color="auto" w:fill="auto"/>
            <w:vAlign w:val="center"/>
          </w:tcPr>
          <w:p w:rsidR="004225A2" w:rsidRPr="00AC544F" w:rsidRDefault="004225A2" w:rsidP="00EB6EAC">
            <w:pPr>
              <w:spacing w:after="0" w:line="240" w:lineRule="auto"/>
              <w:rPr>
                <w:rFonts w:ascii="Arial" w:hAnsi="Arial" w:cs="Arial"/>
                <w:sz w:val="16"/>
                <w:szCs w:val="16"/>
              </w:rPr>
            </w:pPr>
          </w:p>
        </w:tc>
        <w:tc>
          <w:tcPr>
            <w:tcW w:w="1035" w:type="dxa"/>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Incidence</w:t>
            </w:r>
          </w:p>
        </w:tc>
        <w:tc>
          <w:tcPr>
            <w:tcW w:w="808" w:type="dxa"/>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Prevalence</w:t>
            </w:r>
          </w:p>
        </w:tc>
        <w:tc>
          <w:tcPr>
            <w:tcW w:w="1372" w:type="dxa"/>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Incidence</w:t>
            </w:r>
          </w:p>
        </w:tc>
        <w:tc>
          <w:tcPr>
            <w:tcW w:w="1145" w:type="dxa"/>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Prevalence</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Incidence</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Prevalence</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Incidence</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Prevalence</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Incidence</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Prevalence</w:t>
            </w:r>
          </w:p>
        </w:tc>
      </w:tr>
      <w:tr w:rsidR="004225A2" w:rsidRPr="00AC544F" w:rsidTr="00EB6EAC">
        <w:trPr>
          <w:trHeight w:val="256"/>
          <w:jc w:val="center"/>
        </w:trPr>
        <w:tc>
          <w:tcPr>
            <w:tcW w:w="914" w:type="dxa"/>
            <w:shd w:val="clear" w:color="auto" w:fill="auto"/>
            <w:vAlign w:val="center"/>
          </w:tcPr>
          <w:p w:rsidR="004225A2" w:rsidRPr="00AC544F" w:rsidRDefault="004225A2" w:rsidP="00EB6EAC">
            <w:pPr>
              <w:spacing w:after="0" w:line="240" w:lineRule="auto"/>
              <w:rPr>
                <w:rFonts w:ascii="Arial" w:hAnsi="Arial" w:cs="Arial"/>
                <w:b/>
                <w:sz w:val="16"/>
                <w:szCs w:val="16"/>
              </w:rPr>
            </w:pPr>
            <w:r w:rsidRPr="00AC544F">
              <w:rPr>
                <w:rFonts w:ascii="Arial" w:hAnsi="Arial" w:cs="Arial"/>
                <w:b/>
                <w:sz w:val="16"/>
                <w:szCs w:val="16"/>
              </w:rPr>
              <w:t>HIV</w:t>
            </w:r>
          </w:p>
        </w:tc>
        <w:tc>
          <w:tcPr>
            <w:tcW w:w="1035"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522</w:t>
            </w:r>
          </w:p>
        </w:tc>
        <w:tc>
          <w:tcPr>
            <w:tcW w:w="808"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4,802</w:t>
            </w:r>
          </w:p>
        </w:tc>
        <w:tc>
          <w:tcPr>
            <w:tcW w:w="1372"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502</w:t>
            </w:r>
          </w:p>
        </w:tc>
        <w:tc>
          <w:tcPr>
            <w:tcW w:w="1145"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4,836</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499</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5,010</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557</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5,273</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594</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5,567</w:t>
            </w:r>
          </w:p>
        </w:tc>
      </w:tr>
      <w:tr w:rsidR="004225A2" w:rsidRPr="00AC544F" w:rsidTr="00EB6EAC">
        <w:trPr>
          <w:trHeight w:val="274"/>
          <w:jc w:val="center"/>
        </w:trPr>
        <w:tc>
          <w:tcPr>
            <w:tcW w:w="914" w:type="dxa"/>
            <w:shd w:val="clear" w:color="auto" w:fill="auto"/>
            <w:vAlign w:val="center"/>
          </w:tcPr>
          <w:p w:rsidR="004225A2" w:rsidRPr="00AC544F" w:rsidRDefault="004225A2" w:rsidP="00EB6EAC">
            <w:pPr>
              <w:spacing w:after="0" w:line="240" w:lineRule="auto"/>
              <w:rPr>
                <w:rFonts w:ascii="Arial" w:hAnsi="Arial" w:cs="Arial"/>
                <w:b/>
                <w:sz w:val="16"/>
                <w:szCs w:val="16"/>
              </w:rPr>
            </w:pPr>
            <w:r w:rsidRPr="00AC544F">
              <w:rPr>
                <w:rFonts w:ascii="Arial" w:hAnsi="Arial" w:cs="Arial"/>
                <w:b/>
                <w:sz w:val="16"/>
                <w:szCs w:val="16"/>
              </w:rPr>
              <w:t>AIDS</w:t>
            </w:r>
          </w:p>
        </w:tc>
        <w:tc>
          <w:tcPr>
            <w:tcW w:w="1035"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347</w:t>
            </w:r>
          </w:p>
        </w:tc>
        <w:tc>
          <w:tcPr>
            <w:tcW w:w="808"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6,252</w:t>
            </w:r>
          </w:p>
        </w:tc>
        <w:tc>
          <w:tcPr>
            <w:tcW w:w="1372"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365</w:t>
            </w:r>
          </w:p>
        </w:tc>
        <w:tc>
          <w:tcPr>
            <w:tcW w:w="1145"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5,546</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351</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6,687</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336</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6,881</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309</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6,973</w:t>
            </w:r>
          </w:p>
        </w:tc>
      </w:tr>
      <w:tr w:rsidR="004225A2" w:rsidRPr="00AC544F" w:rsidTr="00EB6EAC">
        <w:trPr>
          <w:trHeight w:val="274"/>
          <w:jc w:val="center"/>
        </w:trPr>
        <w:tc>
          <w:tcPr>
            <w:tcW w:w="914" w:type="dxa"/>
            <w:shd w:val="clear" w:color="auto" w:fill="auto"/>
            <w:vAlign w:val="center"/>
          </w:tcPr>
          <w:p w:rsidR="004225A2" w:rsidRPr="00AC544F" w:rsidRDefault="004225A2" w:rsidP="00EB6EAC">
            <w:pPr>
              <w:spacing w:after="0" w:line="240" w:lineRule="auto"/>
              <w:rPr>
                <w:rFonts w:ascii="Arial" w:hAnsi="Arial" w:cs="Arial"/>
                <w:b/>
                <w:sz w:val="16"/>
                <w:szCs w:val="16"/>
              </w:rPr>
            </w:pPr>
            <w:r w:rsidRPr="00AC544F">
              <w:rPr>
                <w:rFonts w:ascii="Arial" w:hAnsi="Arial" w:cs="Arial"/>
                <w:b/>
                <w:sz w:val="16"/>
                <w:szCs w:val="16"/>
              </w:rPr>
              <w:t>TOTAL</w:t>
            </w:r>
          </w:p>
        </w:tc>
        <w:tc>
          <w:tcPr>
            <w:tcW w:w="1035"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869</w:t>
            </w:r>
          </w:p>
        </w:tc>
        <w:tc>
          <w:tcPr>
            <w:tcW w:w="808"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11,054</w:t>
            </w:r>
          </w:p>
        </w:tc>
        <w:tc>
          <w:tcPr>
            <w:tcW w:w="1372"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867</w:t>
            </w:r>
          </w:p>
        </w:tc>
        <w:tc>
          <w:tcPr>
            <w:tcW w:w="1145"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10,382</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850</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11,697</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893</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12,154</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903</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12,540</w:t>
            </w:r>
          </w:p>
        </w:tc>
      </w:tr>
    </w:tbl>
    <w:p w:rsidR="004225A2" w:rsidRPr="00AC544F" w:rsidRDefault="004225A2" w:rsidP="004225A2">
      <w:pPr>
        <w:spacing w:after="0" w:line="240" w:lineRule="auto"/>
        <w:jc w:val="both"/>
        <w:rPr>
          <w:rFonts w:ascii="Arial" w:hAnsi="Arial" w:cs="Arial"/>
          <w:sz w:val="20"/>
          <w:szCs w:val="20"/>
        </w:rPr>
      </w:pPr>
      <w:r w:rsidRPr="00AC544F">
        <w:rPr>
          <w:rFonts w:ascii="Arial" w:hAnsi="Arial" w:cs="Arial"/>
          <w:sz w:val="20"/>
          <w:szCs w:val="20"/>
        </w:rPr>
        <w:t xml:space="preserve">Source: Florida Department of Health, Tampa-St. Petersburg EMA Epidemiological Profiles CY 2011,    </w:t>
      </w:r>
    </w:p>
    <w:p w:rsidR="004225A2" w:rsidRPr="00AC544F" w:rsidRDefault="004225A2" w:rsidP="004225A2">
      <w:pPr>
        <w:spacing w:after="0" w:line="240" w:lineRule="auto"/>
        <w:rPr>
          <w:rFonts w:ascii="Arial" w:hAnsi="Arial" w:cs="Arial"/>
          <w:sz w:val="20"/>
          <w:szCs w:val="20"/>
        </w:rPr>
      </w:pPr>
      <w:r w:rsidRPr="00AC544F">
        <w:rPr>
          <w:rFonts w:ascii="Arial" w:hAnsi="Arial" w:cs="Arial"/>
          <w:sz w:val="20"/>
          <w:szCs w:val="20"/>
        </w:rPr>
        <w:t xml:space="preserve">            2012, 2013, 2014 and 2015.</w:t>
      </w:r>
      <w:r w:rsidRPr="00AC544F">
        <w:rPr>
          <w:rFonts w:ascii="Arial" w:hAnsi="Arial" w:cs="Arial"/>
          <w:sz w:val="20"/>
          <w:szCs w:val="20"/>
        </w:rPr>
        <w:br/>
      </w:r>
    </w:p>
    <w:p w:rsidR="00AC544F" w:rsidRDefault="00AC544F" w:rsidP="00454E80">
      <w:pPr>
        <w:spacing w:line="240" w:lineRule="auto"/>
        <w:jc w:val="both"/>
        <w:rPr>
          <w:rFonts w:ascii="Arial" w:hAnsi="Arial" w:cs="Arial"/>
          <w:color w:val="000000" w:themeColor="text1"/>
          <w:sz w:val="24"/>
          <w:szCs w:val="24"/>
        </w:rPr>
      </w:pP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2) </w:t>
      </w:r>
      <w:r w:rsidRPr="00AC544F">
        <w:rPr>
          <w:rFonts w:ascii="Arial" w:hAnsi="Arial" w:cs="Arial"/>
          <w:b/>
          <w:color w:val="000000" w:themeColor="text1"/>
          <w:sz w:val="24"/>
          <w:szCs w:val="24"/>
        </w:rPr>
        <w:t>Attachment</w:t>
      </w:r>
      <w:r w:rsidR="007D600C" w:rsidRPr="00AC544F">
        <w:rPr>
          <w:rFonts w:ascii="Arial" w:hAnsi="Arial" w:cs="Arial"/>
          <w:b/>
          <w:color w:val="000000" w:themeColor="text1"/>
          <w:sz w:val="24"/>
          <w:szCs w:val="24"/>
        </w:rPr>
        <w:t xml:space="preserve"> 1</w:t>
      </w:r>
      <w:r w:rsidRPr="00AC544F">
        <w:rPr>
          <w:rFonts w:ascii="Arial" w:hAnsi="Arial" w:cs="Arial"/>
          <w:color w:val="000000" w:themeColor="text1"/>
          <w:sz w:val="24"/>
          <w:szCs w:val="24"/>
        </w:rPr>
        <w:t xml:space="preserve"> describes the demographic data of PLWHA in the EMA including race, age, sex, and transmission category.</w:t>
      </w:r>
    </w:p>
    <w:p w:rsidR="004225A2" w:rsidRPr="00AC544F" w:rsidRDefault="004225A2" w:rsidP="00454E80">
      <w:pPr>
        <w:spacing w:after="120"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The most common mode of transmission for newly diagnosed individuals living with HIV/AIDS over the five year time-span is MSM with 838 new cases of AIDS and 1,660 new cases of HIV. Heterosexual contact accounted for 594 new AIDS cases and 730 new HIV cases. IDU transmission was the third highest mode of transmission with 173 HIV cases and 181 AIDS cases. </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The incidence of HIV among males in the EMA increased from 409 cases in 2011 to 487 cases in 2015; a 25.5% increase. During the same time frame, new HIV cases among females decreased by 4% from 113 to 107. The incidence of male AIDS cases decreased 13%, from 249 to 232 cases. The incidence of female AIDS cases decreased 9% from 2011-2015; 98 to 77 cases.</w:t>
      </w:r>
    </w:p>
    <w:p w:rsidR="004225A2" w:rsidRPr="00AC544F" w:rsidRDefault="004225A2" w:rsidP="004225A2">
      <w:pPr>
        <w:spacing w:line="240" w:lineRule="auto"/>
        <w:jc w:val="center"/>
        <w:rPr>
          <w:rFonts w:ascii="Arial" w:hAnsi="Arial" w:cs="Arial"/>
          <w:color w:val="000000" w:themeColor="text1"/>
          <w:sz w:val="24"/>
          <w:szCs w:val="24"/>
        </w:rPr>
      </w:pPr>
      <w:r w:rsidRPr="00AC544F">
        <w:rPr>
          <w:rFonts w:ascii="Arial" w:hAnsi="Arial" w:cs="Arial"/>
          <w:noProof/>
          <w:sz w:val="24"/>
          <w:szCs w:val="24"/>
        </w:rPr>
        <w:lastRenderedPageBreak/>
        <w:drawing>
          <wp:inline distT="0" distB="0" distL="0" distR="0" wp14:anchorId="2E93FAC2" wp14:editId="7E07BA91">
            <wp:extent cx="2752253" cy="2037030"/>
            <wp:effectExtent l="0" t="0" r="10160" b="209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AC544F">
        <w:rPr>
          <w:rFonts w:ascii="Arial" w:hAnsi="Arial" w:cs="Arial"/>
          <w:noProof/>
          <w:sz w:val="24"/>
          <w:szCs w:val="24"/>
        </w:rPr>
        <w:drawing>
          <wp:inline distT="0" distB="0" distL="0" distR="0" wp14:anchorId="098D4191" wp14:editId="0B1918F1">
            <wp:extent cx="2752253" cy="2037030"/>
            <wp:effectExtent l="0" t="0" r="10160" b="2095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25A2" w:rsidRPr="00AC544F" w:rsidRDefault="004225A2" w:rsidP="004225A2">
      <w:pPr>
        <w:spacing w:after="0" w:line="240" w:lineRule="auto"/>
        <w:jc w:val="both"/>
        <w:rPr>
          <w:rFonts w:ascii="Arial" w:hAnsi="Arial" w:cs="Arial"/>
          <w:sz w:val="20"/>
          <w:szCs w:val="24"/>
        </w:rPr>
      </w:pPr>
      <w:r w:rsidRPr="00AC544F">
        <w:rPr>
          <w:rFonts w:ascii="Arial" w:hAnsi="Arial" w:cs="Arial"/>
          <w:sz w:val="20"/>
          <w:szCs w:val="24"/>
        </w:rPr>
        <w:t>Source: Florida Department of Health, Tampa-St. Petersburg EMA Epidemiological Profiles CY 2011, 2012, 2013, 2014 and 2015.</w:t>
      </w:r>
    </w:p>
    <w:p w:rsidR="004225A2" w:rsidRPr="00AC544F" w:rsidRDefault="004225A2" w:rsidP="004225A2">
      <w:pPr>
        <w:spacing w:after="0" w:line="240" w:lineRule="auto"/>
        <w:ind w:left="45"/>
        <w:jc w:val="both"/>
        <w:rPr>
          <w:rFonts w:ascii="Arial" w:hAnsi="Arial" w:cs="Arial"/>
          <w:sz w:val="20"/>
          <w:szCs w:val="24"/>
        </w:rPr>
      </w:pP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As shown in Figure 2, over the past five years there has been an increase in the incidence of HIV in the EMA for Blacks and Hispanics. The HIV incidence rose 10% and 81% respectively. From 2011 to 2015, the incidence of AIDS among Hispanics in the EMA rose 17% and the incidence among Blacks decreased 14% (Figure 3). The incidence of AIDS among Whites in the EMA decreased 19%, while the incidence of HIV among Whites decreased by 9% from 2011-2015. </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The 2015 calendar year saw minor demographic changes in HIV and AIDS prevalence. Whites in the EMA represented two thirds of the population and had the highest percentage of HIV cases at 45%. Blacks accounted for 37% and Hispanics represented 16% of HIV cases. Whites represented the largest prevalence of AIDS cases in the EMA with 47%, followed by Blacks with 35% and Hispanics with 16%. Blacks were disproportionately impacted by HIV/AIDS. Blacks made up only 12% of the population within the EMA in 2015 and represented 37% of HIV cases and 35% of the AIDS cases. </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In 2015, men represented 74.2% and 74.8% of HIV and AIDS prevalence respectively. In the EMA, men comprise approximately 48.6% of the population but represent a majority of HIV and AIDS cases. Women represented 25.8% and 25.2% of HIV and AIDS cases respectively. </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Overall, there has been an increase in HIV/AIDS prevalence in every race and ethnicity category in the last five years. Hispanics in the EMA saw the greatest increase in HIV/AIDS prevalence from 1,571 cases in 2011 to 2,031 cases in 2015.</w:t>
      </w:r>
    </w:p>
    <w:p w:rsidR="004225A2" w:rsidRPr="00AC544F" w:rsidRDefault="004225A2" w:rsidP="00454E80">
      <w:pPr>
        <w:spacing w:after="0"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Sociodemographic indicators of PLWHA in the EMA were assessed through data reporting and client needs assessment surveys. According to the 2013 Client Survey, the PLWHA population in the EMA has an unemployment rate of 65%, and 41.5% of PLWHA are without insurance. Of the clients receiving Part A funded services who reported their incomes, 96.9% reported incomes less than 300% of the Federal Poverty Level (FPL), 80% report incomes less than 200% FPL and 59.9% reported incomes of less than 100% FPL. </w:t>
      </w:r>
    </w:p>
    <w:p w:rsidR="004225A2" w:rsidRPr="00AC544F" w:rsidRDefault="004225A2" w:rsidP="00454E80">
      <w:pPr>
        <w:spacing w:after="0" w:line="240" w:lineRule="auto"/>
        <w:jc w:val="both"/>
        <w:rPr>
          <w:rFonts w:ascii="Arial" w:hAnsi="Arial" w:cs="Arial"/>
          <w:color w:val="000000" w:themeColor="text1"/>
          <w:sz w:val="24"/>
          <w:szCs w:val="24"/>
        </w:rPr>
      </w:pPr>
    </w:p>
    <w:p w:rsidR="004225A2" w:rsidRPr="00AC544F" w:rsidRDefault="004225A2" w:rsidP="00454E80">
      <w:pPr>
        <w:spacing w:line="240" w:lineRule="auto"/>
        <w:jc w:val="both"/>
        <w:rPr>
          <w:rFonts w:ascii="Arial" w:hAnsi="Arial" w:cs="Arial"/>
          <w:sz w:val="24"/>
          <w:szCs w:val="24"/>
        </w:rPr>
      </w:pPr>
      <w:r w:rsidRPr="00AC544F">
        <w:rPr>
          <w:rFonts w:ascii="Arial" w:hAnsi="Arial" w:cs="Arial"/>
          <w:sz w:val="24"/>
          <w:szCs w:val="24"/>
        </w:rPr>
        <w:lastRenderedPageBreak/>
        <w:t xml:space="preserve">Additional socioeconomic data for PLWHA in the EMA including percentage of federal poverty level, income, and health insurance status is included in the Impact of the Changing Health Care Landscape section of this document.  </w:t>
      </w:r>
    </w:p>
    <w:p w:rsidR="004225A2" w:rsidRPr="00AC544F" w:rsidRDefault="004225A2" w:rsidP="00454E80">
      <w:pPr>
        <w:spacing w:line="240" w:lineRule="auto"/>
        <w:jc w:val="both"/>
        <w:rPr>
          <w:rFonts w:ascii="Arial" w:hAnsi="Arial" w:cs="Arial"/>
          <w:bCs/>
          <w:sz w:val="24"/>
          <w:szCs w:val="24"/>
          <w:u w:val="single"/>
        </w:rPr>
      </w:pPr>
      <w:r w:rsidRPr="00AC544F">
        <w:rPr>
          <w:rFonts w:ascii="Arial" w:hAnsi="Arial" w:cs="Arial"/>
          <w:bCs/>
          <w:sz w:val="24"/>
          <w:szCs w:val="24"/>
          <w:u w:val="single"/>
        </w:rPr>
        <w:t xml:space="preserve">3) Burden of HIV in the service area: </w:t>
      </w:r>
    </w:p>
    <w:p w:rsidR="00B47552" w:rsidRPr="00AC544F" w:rsidRDefault="004225A2" w:rsidP="00AC544F">
      <w:pPr>
        <w:spacing w:line="240" w:lineRule="auto"/>
        <w:jc w:val="both"/>
        <w:rPr>
          <w:rFonts w:ascii="Arial" w:hAnsi="Arial" w:cs="Arial"/>
          <w:bCs/>
          <w:sz w:val="24"/>
          <w:szCs w:val="24"/>
          <w:u w:val="single"/>
        </w:rPr>
      </w:pPr>
      <w:r w:rsidRPr="00AC544F">
        <w:rPr>
          <w:rFonts w:ascii="Arial" w:hAnsi="Arial" w:cs="Arial"/>
          <w:color w:val="000000" w:themeColor="text1"/>
          <w:sz w:val="24"/>
          <w:szCs w:val="24"/>
        </w:rPr>
        <w:t xml:space="preserve">Figure 4 depicts the presumed living HIV/AIDS cases in each of the EMA’s four counties as of 10/30/15. The EMA’s urban counties (Hillsborough and Pinellas) experienced a greater number of HIV/AIDS cases compared to the rural </w:t>
      </w:r>
      <w:r w:rsidR="00AC544F">
        <w:rPr>
          <w:rFonts w:ascii="Arial" w:hAnsi="Arial" w:cs="Arial"/>
          <w:color w:val="000000" w:themeColor="text1"/>
          <w:sz w:val="24"/>
          <w:szCs w:val="24"/>
        </w:rPr>
        <w:t xml:space="preserve">counties (Hernando and Pasco). </w:t>
      </w:r>
    </w:p>
    <w:p w:rsidR="004225A2" w:rsidRPr="00AC544F" w:rsidRDefault="004225A2" w:rsidP="004225A2">
      <w:pPr>
        <w:spacing w:after="0" w:line="240" w:lineRule="auto"/>
        <w:jc w:val="center"/>
        <w:rPr>
          <w:rFonts w:ascii="Arial" w:hAnsi="Arial" w:cs="Arial"/>
          <w:b/>
          <w:bCs/>
          <w:sz w:val="24"/>
          <w:szCs w:val="24"/>
        </w:rPr>
      </w:pPr>
      <w:r w:rsidRPr="00AC544F">
        <w:rPr>
          <w:rFonts w:ascii="Arial" w:hAnsi="Arial" w:cs="Arial"/>
          <w:b/>
          <w:bCs/>
          <w:sz w:val="24"/>
          <w:szCs w:val="24"/>
        </w:rPr>
        <w:t xml:space="preserve">Figure 4: </w:t>
      </w:r>
    </w:p>
    <w:p w:rsidR="004225A2" w:rsidRPr="00AC544F" w:rsidRDefault="004225A2" w:rsidP="004225A2">
      <w:pPr>
        <w:spacing w:after="0" w:line="240" w:lineRule="auto"/>
        <w:jc w:val="center"/>
        <w:rPr>
          <w:rFonts w:ascii="Arial" w:hAnsi="Arial" w:cs="Arial"/>
          <w:sz w:val="24"/>
          <w:szCs w:val="24"/>
        </w:rPr>
      </w:pPr>
      <w:r w:rsidRPr="00AC544F">
        <w:rPr>
          <w:rFonts w:ascii="Arial" w:hAnsi="Arial" w:cs="Arial"/>
          <w:b/>
          <w:bCs/>
          <w:sz w:val="24"/>
          <w:szCs w:val="24"/>
        </w:rPr>
        <w:t>Tampa-St. Petersburg EMA</w:t>
      </w:r>
      <w:r w:rsidR="00B47552" w:rsidRPr="00AC544F">
        <w:rPr>
          <w:rFonts w:ascii="Arial" w:hAnsi="Arial" w:cs="Arial"/>
          <w:sz w:val="24"/>
          <w:szCs w:val="24"/>
        </w:rPr>
        <w:t xml:space="preserve"> </w:t>
      </w:r>
      <w:r w:rsidRPr="00AC544F">
        <w:rPr>
          <w:rFonts w:ascii="Arial" w:hAnsi="Arial" w:cs="Arial"/>
          <w:b/>
          <w:bCs/>
          <w:sz w:val="24"/>
          <w:szCs w:val="24"/>
        </w:rPr>
        <w:t>HIV/AIDS Cases per County</w:t>
      </w:r>
    </w:p>
    <w:p w:rsidR="004225A2" w:rsidRPr="00AC544F" w:rsidRDefault="004225A2" w:rsidP="004225A2">
      <w:pPr>
        <w:spacing w:after="0" w:line="240" w:lineRule="auto"/>
        <w:jc w:val="center"/>
        <w:rPr>
          <w:rFonts w:ascii="Arial" w:hAnsi="Arial" w:cs="Arial"/>
          <w:sz w:val="24"/>
          <w:szCs w:val="24"/>
        </w:rPr>
      </w:pPr>
      <w:r w:rsidRPr="00AC544F">
        <w:rPr>
          <w:rFonts w:ascii="Arial" w:hAnsi="Arial" w:cs="Arial"/>
          <w:noProof/>
          <w:sz w:val="24"/>
          <w:szCs w:val="24"/>
        </w:rPr>
        <w:drawing>
          <wp:inline distT="0" distB="0" distL="0" distR="0" wp14:anchorId="5CDE910B" wp14:editId="616F3560">
            <wp:extent cx="1965366" cy="2510899"/>
            <wp:effectExtent l="0" t="0" r="0" b="3810"/>
            <wp:docPr id="5" name="Picture 5" descr="C:\Users\swest\Desktop\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st\Desktop\353.pn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colorTemperature colorTemp="11200"/>
                              </a14:imgEffect>
                              <a14:imgEffect>
                                <a14:saturation sat="0"/>
                              </a14:imgEffect>
                            </a14:imgLayer>
                          </a14:imgProps>
                        </a:ext>
                        <a:ext uri="{28A0092B-C50C-407E-A947-70E740481C1C}">
                          <a14:useLocalDpi xmlns:a14="http://schemas.microsoft.com/office/drawing/2010/main" val="0"/>
                        </a:ext>
                      </a:extLst>
                    </a:blip>
                    <a:srcRect l="27133" t="17838" r="26881" b="19549"/>
                    <a:stretch/>
                  </pic:blipFill>
                  <pic:spPr bwMode="auto">
                    <a:xfrm>
                      <a:off x="0" y="0"/>
                      <a:ext cx="1974739" cy="2522874"/>
                    </a:xfrm>
                    <a:prstGeom prst="rect">
                      <a:avLst/>
                    </a:prstGeom>
                    <a:noFill/>
                    <a:ln>
                      <a:noFill/>
                    </a:ln>
                    <a:extLst>
                      <a:ext uri="{53640926-AAD7-44D8-BBD7-CCE9431645EC}">
                        <a14:shadowObscured xmlns:a14="http://schemas.microsoft.com/office/drawing/2010/main"/>
                      </a:ext>
                    </a:extLst>
                  </pic:spPr>
                </pic:pic>
              </a:graphicData>
            </a:graphic>
          </wp:inline>
        </w:drawing>
      </w:r>
    </w:p>
    <w:p w:rsidR="004225A2" w:rsidRPr="00AC544F" w:rsidRDefault="004225A2" w:rsidP="004225A2">
      <w:pPr>
        <w:spacing w:after="0" w:line="240" w:lineRule="auto"/>
        <w:jc w:val="center"/>
        <w:rPr>
          <w:rFonts w:ascii="Arial" w:hAnsi="Arial" w:cs="Arial"/>
          <w:sz w:val="20"/>
          <w:szCs w:val="24"/>
        </w:rPr>
      </w:pPr>
      <w:r w:rsidRPr="00AC544F">
        <w:rPr>
          <w:rFonts w:ascii="Arial" w:hAnsi="Arial" w:cs="Arial"/>
          <w:sz w:val="20"/>
          <w:szCs w:val="24"/>
        </w:rPr>
        <w:t>Source: Florida Department of Health, Monthly Surveillance Report, October 2015.</w:t>
      </w:r>
    </w:p>
    <w:p w:rsidR="00454E80" w:rsidRPr="00AC544F" w:rsidRDefault="00454E80" w:rsidP="004225A2">
      <w:pPr>
        <w:spacing w:after="0" w:line="240" w:lineRule="auto"/>
        <w:jc w:val="center"/>
        <w:rPr>
          <w:rFonts w:ascii="Arial" w:hAnsi="Arial" w:cs="Arial"/>
          <w:sz w:val="20"/>
          <w:szCs w:val="24"/>
        </w:rPr>
      </w:pPr>
    </w:p>
    <w:p w:rsidR="004225A2" w:rsidRDefault="004225A2" w:rsidP="00454E80">
      <w:pPr>
        <w:spacing w:after="0"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Figure 5 highlights possible HIV exposure categories as acknowledged by individuals during testing. Over a five year period (2011-2015), the highest tested exposure category was heterosexual contact. The second highest exposure category was STD diagnosis, followed by Men who have Sex with Men (MSM). Although the heterosexual exposure category had the highest number of tests, MSM had the highest number of positive tests from 2011-2015.</w:t>
      </w: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Pr="00AC544F" w:rsidRDefault="00AC544F" w:rsidP="00454E80">
      <w:pPr>
        <w:spacing w:after="0" w:line="240" w:lineRule="auto"/>
        <w:jc w:val="both"/>
        <w:rPr>
          <w:rFonts w:ascii="Arial" w:hAnsi="Arial" w:cs="Arial"/>
          <w:color w:val="000000" w:themeColor="text1"/>
          <w:sz w:val="24"/>
          <w:szCs w:val="24"/>
        </w:rPr>
      </w:pPr>
    </w:p>
    <w:p w:rsidR="004225A2" w:rsidRPr="00AC544F" w:rsidRDefault="004225A2" w:rsidP="004225A2">
      <w:pPr>
        <w:spacing w:after="0" w:line="240" w:lineRule="auto"/>
        <w:rPr>
          <w:rFonts w:ascii="Arial" w:hAnsi="Arial" w:cs="Arial"/>
          <w:sz w:val="20"/>
          <w:szCs w:val="24"/>
        </w:rPr>
      </w:pPr>
    </w:p>
    <w:p w:rsidR="004225A2" w:rsidRPr="00AC544F" w:rsidRDefault="004225A2" w:rsidP="004225A2">
      <w:pPr>
        <w:jc w:val="center"/>
        <w:rPr>
          <w:rFonts w:ascii="Arial" w:hAnsi="Arial" w:cs="Arial"/>
          <w:b/>
          <w:sz w:val="24"/>
          <w:szCs w:val="24"/>
        </w:rPr>
      </w:pPr>
      <w:r w:rsidRPr="00AC544F">
        <w:rPr>
          <w:rFonts w:ascii="Arial" w:hAnsi="Arial" w:cs="Arial"/>
          <w:b/>
          <w:sz w:val="24"/>
          <w:szCs w:val="24"/>
        </w:rPr>
        <w:lastRenderedPageBreak/>
        <w:t>Figure 5: Testing in the EMA by Possible Exposure Category</w:t>
      </w:r>
    </w:p>
    <w:tbl>
      <w:tblPr>
        <w:tblStyle w:val="TableGrid"/>
        <w:tblW w:w="10530" w:type="dxa"/>
        <w:tblInd w:w="-702" w:type="dxa"/>
        <w:tblLayout w:type="fixed"/>
        <w:tblLook w:val="04A0" w:firstRow="1" w:lastRow="0" w:firstColumn="1" w:lastColumn="0" w:noHBand="0" w:noVBand="1"/>
      </w:tblPr>
      <w:tblGrid>
        <w:gridCol w:w="1530"/>
        <w:gridCol w:w="900"/>
        <w:gridCol w:w="900"/>
        <w:gridCol w:w="900"/>
        <w:gridCol w:w="900"/>
        <w:gridCol w:w="867"/>
        <w:gridCol w:w="867"/>
        <w:gridCol w:w="966"/>
        <w:gridCol w:w="900"/>
        <w:gridCol w:w="900"/>
        <w:gridCol w:w="900"/>
      </w:tblGrid>
      <w:tr w:rsidR="004225A2" w:rsidRPr="00AC544F" w:rsidTr="00EB6EAC">
        <w:tc>
          <w:tcPr>
            <w:tcW w:w="1530" w:type="dxa"/>
            <w:vMerge w:val="restart"/>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Exposure Category</w:t>
            </w:r>
          </w:p>
        </w:tc>
        <w:tc>
          <w:tcPr>
            <w:tcW w:w="1800" w:type="dxa"/>
            <w:gridSpan w:val="2"/>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2011</w:t>
            </w:r>
          </w:p>
        </w:tc>
        <w:tc>
          <w:tcPr>
            <w:tcW w:w="1800" w:type="dxa"/>
            <w:gridSpan w:val="2"/>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2012</w:t>
            </w:r>
          </w:p>
        </w:tc>
        <w:tc>
          <w:tcPr>
            <w:tcW w:w="1734" w:type="dxa"/>
            <w:gridSpan w:val="2"/>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2013</w:t>
            </w:r>
          </w:p>
        </w:tc>
        <w:tc>
          <w:tcPr>
            <w:tcW w:w="1866" w:type="dxa"/>
            <w:gridSpan w:val="2"/>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2014</w:t>
            </w:r>
          </w:p>
        </w:tc>
        <w:tc>
          <w:tcPr>
            <w:tcW w:w="1800" w:type="dxa"/>
            <w:gridSpan w:val="2"/>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2015</w:t>
            </w:r>
          </w:p>
        </w:tc>
      </w:tr>
      <w:tr w:rsidR="004225A2" w:rsidRPr="00AC544F" w:rsidTr="00EB6EAC">
        <w:tc>
          <w:tcPr>
            <w:tcW w:w="1530" w:type="dxa"/>
            <w:vMerge/>
            <w:vAlign w:val="center"/>
          </w:tcPr>
          <w:p w:rsidR="004225A2" w:rsidRPr="00AC544F" w:rsidRDefault="004225A2" w:rsidP="00EB6EAC">
            <w:pPr>
              <w:jc w:val="center"/>
              <w:rPr>
                <w:rFonts w:ascii="Arial" w:hAnsi="Arial" w:cs="Arial"/>
                <w:b/>
                <w:sz w:val="20"/>
                <w:szCs w:val="20"/>
              </w:rPr>
            </w:pP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Number of Tests</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Positive Tests</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Number of Tests</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Positive Tests</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Number of Tests</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Positive Tests</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Number of Tests</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Positive Tests</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Number of Tests</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Positive Tests</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MSM/IDU</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148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22</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178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18</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240</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19</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250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295</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18</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MSM</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3,600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234</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3,752</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226</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4,456</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220</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4,514</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215</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5,427</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269</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IDU</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2,861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25</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2,699</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20</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3,012</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24</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3,076</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3,844</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16</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Sexual Partner at Risk</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2,353</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98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2,724</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48</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2,404</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67</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1,822</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78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1,935</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62</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Child of Women with HIV/AIDS</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122</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89</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54</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5</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STD Diagnosis</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8,564</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7,806</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37</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7,524</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31</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7,873</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37</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8,005</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39</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Sex for Drugs or Money</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408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337</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316</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262</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281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Hemophilia/ Blood Recipient</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Victim of Sexual Assault</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1,388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7</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1,187</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10</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567</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150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111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Health Care Exposure</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Heterosexual</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23,272</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75</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18,089</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76</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18,712</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67</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16,617</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79</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15,277</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46</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No Acknowledged Risk</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421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384</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5</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413</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1,491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288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Unknown</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1,429</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12</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1,539</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20</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1,957</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15</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447</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1,089</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10</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Total</w:t>
            </w:r>
          </w:p>
        </w:tc>
        <w:tc>
          <w:tcPr>
            <w:tcW w:w="90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44,566</w:t>
            </w:r>
          </w:p>
        </w:tc>
        <w:tc>
          <w:tcPr>
            <w:tcW w:w="90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517</w:t>
            </w:r>
          </w:p>
        </w:tc>
        <w:tc>
          <w:tcPr>
            <w:tcW w:w="90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38,784</w:t>
            </w:r>
          </w:p>
        </w:tc>
        <w:tc>
          <w:tcPr>
            <w:tcW w:w="90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466</w:t>
            </w:r>
          </w:p>
        </w:tc>
        <w:tc>
          <w:tcPr>
            <w:tcW w:w="867"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39,655</w:t>
            </w:r>
          </w:p>
        </w:tc>
        <w:tc>
          <w:tcPr>
            <w:tcW w:w="867"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455</w:t>
            </w:r>
          </w:p>
        </w:tc>
        <w:tc>
          <w:tcPr>
            <w:tcW w:w="966"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36,512</w:t>
            </w:r>
          </w:p>
        </w:tc>
        <w:tc>
          <w:tcPr>
            <w:tcW w:w="90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461</w:t>
            </w:r>
          </w:p>
        </w:tc>
        <w:tc>
          <w:tcPr>
            <w:tcW w:w="90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36,557</w:t>
            </w:r>
          </w:p>
        </w:tc>
        <w:tc>
          <w:tcPr>
            <w:tcW w:w="90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463</w:t>
            </w:r>
          </w:p>
        </w:tc>
      </w:tr>
    </w:tbl>
    <w:p w:rsidR="004225A2" w:rsidRPr="00AC544F" w:rsidRDefault="004225A2" w:rsidP="004225A2">
      <w:pPr>
        <w:spacing w:after="0" w:line="240" w:lineRule="auto"/>
        <w:rPr>
          <w:rFonts w:ascii="Arial" w:hAnsi="Arial" w:cs="Arial"/>
          <w:sz w:val="20"/>
          <w:szCs w:val="24"/>
        </w:rPr>
      </w:pPr>
      <w:r w:rsidRPr="00AC544F">
        <w:rPr>
          <w:rFonts w:ascii="Arial" w:hAnsi="Arial" w:cs="Arial"/>
          <w:sz w:val="20"/>
          <w:szCs w:val="24"/>
        </w:rPr>
        <w:t>Source: Florida Department of Health, Tampa-St. Petersburg EMA Epidemiological Profiles CY 2011, 2012, 2013, 2014, and 2015.</w:t>
      </w:r>
    </w:p>
    <w:p w:rsidR="004225A2" w:rsidRPr="00AC544F" w:rsidRDefault="004225A2" w:rsidP="00454E80">
      <w:pPr>
        <w:spacing w:line="240" w:lineRule="auto"/>
        <w:jc w:val="both"/>
        <w:rPr>
          <w:rFonts w:ascii="Arial" w:hAnsi="Arial" w:cs="Arial"/>
          <w:color w:val="8064A2" w:themeColor="accent4"/>
          <w:sz w:val="24"/>
          <w:szCs w:val="24"/>
        </w:rPr>
      </w:pPr>
      <w:r w:rsidRPr="00AC544F">
        <w:rPr>
          <w:rFonts w:ascii="Arial" w:hAnsi="Arial" w:cs="Arial"/>
          <w:color w:val="8064A2" w:themeColor="accent4"/>
          <w:sz w:val="24"/>
          <w:szCs w:val="24"/>
        </w:rPr>
        <w:br/>
      </w:r>
      <w:r w:rsidRPr="00AC544F">
        <w:rPr>
          <w:rFonts w:ascii="Arial" w:hAnsi="Arial" w:cs="Arial"/>
          <w:color w:val="000000" w:themeColor="text1"/>
          <w:sz w:val="24"/>
          <w:szCs w:val="24"/>
        </w:rPr>
        <w:t xml:space="preserve">Figure 6 shows the number of HIV/AIDS case deaths by race/ethnicity from 2011-2015. All race/ethnicity categories experienced a higher number of deaths in 2015 compared to the previous four years. </w:t>
      </w:r>
    </w:p>
    <w:p w:rsidR="004225A2" w:rsidRPr="00AC544F" w:rsidRDefault="004225A2" w:rsidP="004225A2">
      <w:pPr>
        <w:jc w:val="center"/>
        <w:rPr>
          <w:rFonts w:ascii="Arial" w:hAnsi="Arial" w:cs="Arial"/>
          <w:sz w:val="24"/>
          <w:szCs w:val="24"/>
        </w:rPr>
      </w:pPr>
      <w:r w:rsidRPr="00AC544F">
        <w:rPr>
          <w:rFonts w:ascii="Arial" w:hAnsi="Arial" w:cs="Arial"/>
          <w:noProof/>
          <w:sz w:val="24"/>
          <w:szCs w:val="24"/>
        </w:rPr>
        <w:lastRenderedPageBreak/>
        <w:drawing>
          <wp:inline distT="0" distB="0" distL="0" distR="0" wp14:anchorId="025F90AD" wp14:editId="273DE66F">
            <wp:extent cx="4371975" cy="242887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25A2" w:rsidRPr="00AC544F" w:rsidRDefault="004225A2" w:rsidP="004225A2">
      <w:pPr>
        <w:spacing w:after="0" w:line="240" w:lineRule="auto"/>
        <w:rPr>
          <w:rFonts w:ascii="Arial" w:hAnsi="Arial" w:cs="Arial"/>
          <w:sz w:val="20"/>
          <w:szCs w:val="20"/>
        </w:rPr>
      </w:pPr>
      <w:r w:rsidRPr="00AC544F">
        <w:rPr>
          <w:rFonts w:ascii="Arial" w:hAnsi="Arial" w:cs="Arial"/>
          <w:sz w:val="20"/>
          <w:szCs w:val="20"/>
        </w:rPr>
        <w:t>Source: Florida Department of Health, Tampa-St. Petersburg EMA Epidemiological Profiles CY 2011, 2012, 2013, 2014, and 2015.</w:t>
      </w:r>
    </w:p>
    <w:p w:rsidR="004225A2" w:rsidRPr="00AC544F" w:rsidRDefault="004225A2" w:rsidP="004225A2">
      <w:pPr>
        <w:spacing w:after="0" w:line="240" w:lineRule="auto"/>
        <w:rPr>
          <w:rFonts w:ascii="Arial" w:hAnsi="Arial" w:cs="Arial"/>
          <w:sz w:val="20"/>
          <w:szCs w:val="20"/>
        </w:rPr>
      </w:pPr>
    </w:p>
    <w:p w:rsidR="004225A2" w:rsidRPr="00AC544F" w:rsidRDefault="004225A2" w:rsidP="004225A2">
      <w:pPr>
        <w:spacing w:line="240" w:lineRule="auto"/>
        <w:rPr>
          <w:rFonts w:ascii="Arial" w:hAnsi="Arial" w:cs="Arial"/>
          <w:color w:val="000000" w:themeColor="text1"/>
          <w:sz w:val="24"/>
          <w:szCs w:val="24"/>
        </w:rPr>
      </w:pPr>
      <w:r w:rsidRPr="00AC544F">
        <w:rPr>
          <w:rFonts w:ascii="Arial" w:hAnsi="Arial" w:cs="Arial"/>
          <w:color w:val="000000" w:themeColor="text1"/>
          <w:sz w:val="24"/>
          <w:szCs w:val="24"/>
          <w:u w:val="single"/>
        </w:rPr>
        <w:t>4) Indicators of risk for HIV infections:</w:t>
      </w:r>
      <w:r w:rsidRPr="00AC544F">
        <w:rPr>
          <w:rFonts w:ascii="Arial" w:hAnsi="Arial" w:cs="Arial"/>
          <w:color w:val="000000" w:themeColor="text1"/>
          <w:sz w:val="24"/>
          <w:szCs w:val="24"/>
        </w:rPr>
        <w:t xml:space="preserve"> </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Indicators of risk for acquiring/identifying HIV infection include: HIV testing, unwanted sexual experiences, healthcare-seeking behaviors, and the presence of sexually transmitted infections such as chlamydia, syphilis and gonorrhea. Behavioral data available for the EMA is included when known, in addition to HIV surveillance and testing data, client level data for Ryan White HIV/AIDS Program (RWHAP) Part A clients and AIDS Drug Assistance Program (ADAP) clients, relevant other surveillance program data, and vital statistics. These data points help to portray the potential risk for new HIV infections in the EMA. </w:t>
      </w:r>
    </w:p>
    <w:p w:rsidR="004225A2" w:rsidRPr="00AC544F" w:rsidRDefault="004225A2" w:rsidP="004225A2">
      <w:pPr>
        <w:spacing w:line="240" w:lineRule="auto"/>
        <w:rPr>
          <w:rFonts w:ascii="Arial" w:hAnsi="Arial" w:cs="Arial"/>
          <w:color w:val="000000" w:themeColor="text1"/>
          <w:sz w:val="24"/>
          <w:szCs w:val="24"/>
          <w:u w:val="single"/>
        </w:rPr>
      </w:pPr>
      <w:r w:rsidRPr="00AC544F">
        <w:rPr>
          <w:rFonts w:ascii="Arial" w:hAnsi="Arial" w:cs="Arial"/>
          <w:color w:val="000000" w:themeColor="text1"/>
          <w:sz w:val="24"/>
          <w:szCs w:val="24"/>
          <w:u w:val="single"/>
        </w:rPr>
        <w:t xml:space="preserve">a) Behavioral surveillance data: </w:t>
      </w:r>
    </w:p>
    <w:p w:rsidR="004225A2"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Figure 7 shows that all parts of the Tampa-St. Petersburg EMA had higher rates than the State of Florida for adults who had an unwanted sexual experience in the past 12 months in 2007. Pasco County had the highest rate at 9.6%, almost a full 3% higher than the state of Florida. </w:t>
      </w:r>
    </w:p>
    <w:p w:rsidR="00AC544F" w:rsidRPr="00AC544F" w:rsidRDefault="00AC544F" w:rsidP="00454E80">
      <w:pPr>
        <w:spacing w:line="240" w:lineRule="auto"/>
        <w:jc w:val="both"/>
        <w:rPr>
          <w:rFonts w:ascii="Arial" w:hAnsi="Arial" w:cs="Arial"/>
          <w:color w:val="000000" w:themeColor="text1"/>
          <w:sz w:val="24"/>
          <w:szCs w:val="24"/>
        </w:rPr>
      </w:pPr>
    </w:p>
    <w:p w:rsidR="004225A2" w:rsidRPr="00AC544F" w:rsidRDefault="004225A2" w:rsidP="004225A2">
      <w:pPr>
        <w:spacing w:line="240" w:lineRule="auto"/>
        <w:jc w:val="center"/>
        <w:rPr>
          <w:rFonts w:ascii="Arial" w:hAnsi="Arial" w:cs="Arial"/>
          <w:sz w:val="24"/>
          <w:szCs w:val="24"/>
        </w:rPr>
      </w:pPr>
      <w:r w:rsidRPr="00AC544F">
        <w:rPr>
          <w:rFonts w:ascii="Arial" w:hAnsi="Arial" w:cs="Arial"/>
          <w:b/>
          <w:noProof/>
          <w:sz w:val="24"/>
          <w:szCs w:val="24"/>
        </w:rPr>
        <w:lastRenderedPageBreak/>
        <w:drawing>
          <wp:inline distT="0" distB="0" distL="0" distR="0" wp14:anchorId="0CBE02E7" wp14:editId="70820279">
            <wp:extent cx="4552950" cy="19907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225A2" w:rsidRPr="00AC544F" w:rsidRDefault="004225A2" w:rsidP="004225A2">
      <w:pPr>
        <w:spacing w:after="0" w:line="240" w:lineRule="auto"/>
        <w:rPr>
          <w:rStyle w:val="apple-converted-space"/>
          <w:rFonts w:ascii="Arial" w:hAnsi="Arial" w:cs="Arial"/>
          <w:color w:val="000000"/>
          <w:sz w:val="20"/>
          <w:szCs w:val="24"/>
          <w:shd w:val="clear" w:color="auto" w:fill="FFFFFF"/>
        </w:rPr>
      </w:pPr>
      <w:r w:rsidRPr="00AC544F">
        <w:rPr>
          <w:rFonts w:ascii="Arial" w:hAnsi="Arial" w:cs="Arial"/>
          <w:sz w:val="20"/>
          <w:szCs w:val="24"/>
        </w:rPr>
        <w:t xml:space="preserve">Source: </w:t>
      </w:r>
      <w:r w:rsidRPr="00AC544F">
        <w:rPr>
          <w:rFonts w:ascii="Arial" w:hAnsi="Arial" w:cs="Arial"/>
          <w:color w:val="000000"/>
          <w:sz w:val="20"/>
          <w:szCs w:val="24"/>
          <w:shd w:val="clear" w:color="auto" w:fill="FFFFFF"/>
        </w:rPr>
        <w:t>Florida Behavioral Risk Factor Surveillance System county-level telephone survey conducted by the Centers for Disease Control and Prevention (CDC) and Florida Department of Health Bureau of Epidemiology, 2007.</w:t>
      </w:r>
      <w:r w:rsidRPr="00AC544F">
        <w:rPr>
          <w:rStyle w:val="apple-converted-space"/>
          <w:rFonts w:ascii="Arial" w:hAnsi="Arial" w:cs="Arial"/>
          <w:color w:val="000000"/>
          <w:sz w:val="20"/>
          <w:szCs w:val="24"/>
          <w:shd w:val="clear" w:color="auto" w:fill="FFFFFF"/>
        </w:rPr>
        <w:t> </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8064A2" w:themeColor="accent4"/>
          <w:sz w:val="24"/>
          <w:szCs w:val="24"/>
        </w:rPr>
        <w:br/>
      </w:r>
      <w:r w:rsidRPr="00AC544F">
        <w:rPr>
          <w:rFonts w:ascii="Arial" w:hAnsi="Arial" w:cs="Arial"/>
          <w:color w:val="000000" w:themeColor="text1"/>
          <w:sz w:val="24"/>
          <w:szCs w:val="24"/>
        </w:rPr>
        <w:t xml:space="preserve">Figure 8 depicts the healthcare-seeking behavior for individuals in the EMA. All counties in the EMA have rates that are just above the State of Florida for adults with any type of health care insurance coverage. At least 80% of adults in the EMA had some type of health insurance and 70.9% - 73.1% of adults had a medical checkup in the last year. Approximately 15.5%-19.6% of adults in the EMA were not able to see a doctor in the last year due to cost. </w:t>
      </w:r>
    </w:p>
    <w:p w:rsidR="004225A2" w:rsidRPr="00AC544F" w:rsidRDefault="004225A2" w:rsidP="004225A2">
      <w:pPr>
        <w:spacing w:line="240" w:lineRule="auto"/>
        <w:jc w:val="center"/>
        <w:rPr>
          <w:rFonts w:ascii="Arial" w:hAnsi="Arial" w:cs="Arial"/>
          <w:b/>
          <w:sz w:val="24"/>
          <w:szCs w:val="24"/>
        </w:rPr>
      </w:pPr>
      <w:r w:rsidRPr="00AC544F">
        <w:rPr>
          <w:rFonts w:ascii="Arial" w:hAnsi="Arial" w:cs="Arial"/>
          <w:b/>
          <w:noProof/>
          <w:sz w:val="24"/>
          <w:szCs w:val="24"/>
        </w:rPr>
        <w:drawing>
          <wp:inline distT="0" distB="0" distL="0" distR="0" wp14:anchorId="46A5E2C1" wp14:editId="64F8D742">
            <wp:extent cx="4857750" cy="27051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225A2" w:rsidRPr="00AC544F" w:rsidRDefault="004225A2" w:rsidP="004225A2">
      <w:pPr>
        <w:spacing w:line="240" w:lineRule="auto"/>
        <w:rPr>
          <w:rFonts w:ascii="Arial" w:hAnsi="Arial" w:cs="Arial"/>
          <w:sz w:val="20"/>
          <w:szCs w:val="24"/>
        </w:rPr>
      </w:pPr>
      <w:r w:rsidRPr="00AC544F">
        <w:rPr>
          <w:rFonts w:ascii="Arial" w:hAnsi="Arial" w:cs="Arial"/>
          <w:sz w:val="20"/>
          <w:szCs w:val="24"/>
        </w:rPr>
        <w:t>Source: Behavioral Risk Factor Surveillance System (BRFSS), 2013 County Level Reports.</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u w:val="single"/>
        </w:rPr>
        <w:t>b) HIV Surveillance Data:</w:t>
      </w:r>
      <w:r w:rsidRPr="00AC544F">
        <w:rPr>
          <w:rFonts w:ascii="Arial" w:hAnsi="Arial" w:cs="Arial"/>
          <w:color w:val="000000" w:themeColor="text1"/>
          <w:sz w:val="24"/>
          <w:szCs w:val="24"/>
        </w:rPr>
        <w:t xml:space="preserve"> Figure 9 depicts HIV testing in the Tampa-St. Petersburg EMA from 2011-2015. It indicates a general decrease in testing among all races. 2011 had the highest number of testing events. There has been a decrease in testing events over the last four years. </w:t>
      </w:r>
    </w:p>
    <w:p w:rsidR="004225A2" w:rsidRPr="00AC544F" w:rsidRDefault="004225A2" w:rsidP="004225A2">
      <w:pPr>
        <w:spacing w:after="0" w:line="240" w:lineRule="auto"/>
        <w:jc w:val="center"/>
        <w:rPr>
          <w:rFonts w:ascii="Arial" w:hAnsi="Arial" w:cs="Arial"/>
          <w:sz w:val="24"/>
          <w:szCs w:val="24"/>
        </w:rPr>
      </w:pPr>
      <w:r w:rsidRPr="00AC544F">
        <w:rPr>
          <w:rFonts w:ascii="Arial" w:hAnsi="Arial" w:cs="Arial"/>
          <w:b/>
          <w:noProof/>
          <w:sz w:val="24"/>
          <w:szCs w:val="24"/>
        </w:rPr>
        <w:lastRenderedPageBreak/>
        <w:drawing>
          <wp:inline distT="0" distB="0" distL="0" distR="0" wp14:anchorId="3966F451" wp14:editId="3DB78C23">
            <wp:extent cx="4019550" cy="231457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225A2" w:rsidRPr="00AC544F" w:rsidRDefault="004225A2" w:rsidP="004225A2">
      <w:pPr>
        <w:spacing w:after="0" w:line="240" w:lineRule="auto"/>
        <w:rPr>
          <w:rFonts w:ascii="Arial" w:hAnsi="Arial" w:cs="Arial"/>
          <w:sz w:val="20"/>
          <w:szCs w:val="24"/>
        </w:rPr>
      </w:pPr>
    </w:p>
    <w:p w:rsidR="004225A2" w:rsidRPr="00AC544F" w:rsidRDefault="004225A2" w:rsidP="004225A2">
      <w:pPr>
        <w:spacing w:after="0" w:line="240" w:lineRule="auto"/>
        <w:rPr>
          <w:rFonts w:ascii="Arial" w:hAnsi="Arial" w:cs="Arial"/>
          <w:sz w:val="20"/>
          <w:szCs w:val="24"/>
        </w:rPr>
      </w:pPr>
      <w:r w:rsidRPr="00AC544F">
        <w:rPr>
          <w:rFonts w:ascii="Arial" w:hAnsi="Arial" w:cs="Arial"/>
          <w:sz w:val="20"/>
          <w:szCs w:val="24"/>
        </w:rPr>
        <w:t>Source: Florida Department of Health, Tampa-St. Petersburg EMA Epidemiological Profiles CY 2011, 2012, 2013, 2014, and 2015.</w:t>
      </w:r>
    </w:p>
    <w:p w:rsidR="004225A2" w:rsidRPr="00AC544F" w:rsidRDefault="004225A2" w:rsidP="004225A2">
      <w:pPr>
        <w:spacing w:after="0" w:line="240" w:lineRule="auto"/>
        <w:rPr>
          <w:rFonts w:ascii="Arial" w:hAnsi="Arial" w:cs="Arial"/>
          <w:sz w:val="20"/>
          <w:szCs w:val="24"/>
        </w:rPr>
      </w:pP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Figure 10 illustrates the percentage of adults under 65 years of age who had an HIV test in the past 12 months. Two of the counties in the EMA, Pasco and Hernando, had significantly lower testing rates compared to the state. Pasco County had a testing rate of 8.4% and Hernando County had a testing rate of 10.15% compared to the state’s rate of 15.6%. </w:t>
      </w:r>
    </w:p>
    <w:p w:rsidR="004225A2" w:rsidRPr="00AC544F" w:rsidRDefault="004225A2" w:rsidP="004225A2">
      <w:pPr>
        <w:jc w:val="center"/>
        <w:rPr>
          <w:rFonts w:ascii="Arial" w:hAnsi="Arial" w:cs="Arial"/>
          <w:color w:val="8064A2" w:themeColor="accent4"/>
          <w:sz w:val="24"/>
          <w:szCs w:val="24"/>
        </w:rPr>
      </w:pPr>
      <w:r w:rsidRPr="00AC544F">
        <w:rPr>
          <w:rFonts w:ascii="Arial" w:hAnsi="Arial" w:cs="Arial"/>
          <w:b/>
          <w:noProof/>
          <w:color w:val="00B0F0"/>
          <w:sz w:val="24"/>
          <w:szCs w:val="24"/>
        </w:rPr>
        <w:drawing>
          <wp:inline distT="0" distB="0" distL="0" distR="0" wp14:anchorId="4587E3D8" wp14:editId="093CBA1A">
            <wp:extent cx="4514850" cy="19621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25A2" w:rsidRPr="00AC544F" w:rsidRDefault="004225A2" w:rsidP="004225A2">
      <w:pPr>
        <w:rPr>
          <w:rFonts w:ascii="Arial" w:hAnsi="Arial" w:cs="Arial"/>
          <w:sz w:val="20"/>
          <w:szCs w:val="24"/>
        </w:rPr>
      </w:pPr>
      <w:r w:rsidRPr="00AC544F">
        <w:rPr>
          <w:rFonts w:ascii="Arial" w:hAnsi="Arial" w:cs="Arial"/>
          <w:sz w:val="20"/>
          <w:szCs w:val="24"/>
        </w:rPr>
        <w:t>Source: Florida Behavioral Risk Factor Surveillance System County-level telephone survey conducted Centers for Disease Control and Prevention (CDC) and Florida Department of Health Bureau of Epidemiology, 2014.</w:t>
      </w:r>
    </w:p>
    <w:p w:rsidR="004225A2" w:rsidRPr="00AC544F" w:rsidRDefault="004225A2" w:rsidP="004225A2">
      <w:pPr>
        <w:spacing w:line="240" w:lineRule="auto"/>
        <w:rPr>
          <w:rFonts w:ascii="Arial" w:hAnsi="Arial" w:cs="Arial"/>
          <w:color w:val="000000" w:themeColor="text1"/>
          <w:sz w:val="24"/>
          <w:szCs w:val="24"/>
          <w:u w:val="single"/>
        </w:rPr>
      </w:pPr>
      <w:r w:rsidRPr="00AC544F">
        <w:rPr>
          <w:rFonts w:ascii="Arial" w:hAnsi="Arial" w:cs="Arial"/>
          <w:color w:val="000000" w:themeColor="text1"/>
          <w:sz w:val="24"/>
          <w:szCs w:val="24"/>
          <w:u w:val="single"/>
        </w:rPr>
        <w:t xml:space="preserve">c) RWHAP data: </w:t>
      </w:r>
    </w:p>
    <w:p w:rsidR="004225A2" w:rsidRPr="00AC544F" w:rsidRDefault="004225A2" w:rsidP="00454E80">
      <w:pPr>
        <w:spacing w:line="240" w:lineRule="auto"/>
        <w:jc w:val="both"/>
        <w:rPr>
          <w:rFonts w:ascii="Arial" w:hAnsi="Arial" w:cs="Arial"/>
          <w:color w:val="8064A2" w:themeColor="accent4"/>
          <w:sz w:val="24"/>
          <w:szCs w:val="24"/>
        </w:rPr>
      </w:pPr>
      <w:r w:rsidRPr="00AC544F">
        <w:rPr>
          <w:rFonts w:ascii="Arial" w:hAnsi="Arial" w:cs="Arial"/>
          <w:color w:val="000000" w:themeColor="text1"/>
          <w:sz w:val="24"/>
          <w:szCs w:val="24"/>
        </w:rPr>
        <w:t xml:space="preserve">Figures 11 and 12 depict Ryan White HIV/AIDS Program Services Report (RSR) data for calendar year 2015. The data represent Ryan White clients in the Tampa –St. Petersburg EMA. The data is not part-specific; that is, all tables include clients served across Ryan White HIV/AIDS Program (RWHAP) funding steams. </w:t>
      </w:r>
    </w:p>
    <w:p w:rsidR="004225A2" w:rsidRPr="00AC544F" w:rsidRDefault="004225A2" w:rsidP="004225A2">
      <w:pPr>
        <w:spacing w:line="240" w:lineRule="auto"/>
        <w:jc w:val="center"/>
        <w:rPr>
          <w:rFonts w:ascii="Arial" w:hAnsi="Arial" w:cs="Arial"/>
          <w:sz w:val="24"/>
          <w:szCs w:val="24"/>
        </w:rPr>
      </w:pPr>
      <w:r w:rsidRPr="00AC544F">
        <w:rPr>
          <w:rFonts w:ascii="Arial" w:hAnsi="Arial" w:cs="Arial"/>
          <w:noProof/>
          <w:sz w:val="24"/>
          <w:szCs w:val="24"/>
        </w:rPr>
        <w:lastRenderedPageBreak/>
        <w:drawing>
          <wp:inline distT="0" distB="0" distL="0" distR="0" wp14:anchorId="79BC28BF" wp14:editId="42741528">
            <wp:extent cx="4476750" cy="24193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225A2" w:rsidRPr="00AC544F" w:rsidRDefault="004225A2" w:rsidP="004225A2">
      <w:pPr>
        <w:spacing w:after="0" w:line="240" w:lineRule="auto"/>
        <w:rPr>
          <w:rFonts w:ascii="Arial" w:hAnsi="Arial" w:cs="Arial"/>
          <w:sz w:val="20"/>
          <w:szCs w:val="24"/>
        </w:rPr>
      </w:pPr>
      <w:r w:rsidRPr="00AC544F">
        <w:rPr>
          <w:rFonts w:ascii="Arial" w:hAnsi="Arial" w:cs="Arial"/>
          <w:sz w:val="20"/>
          <w:szCs w:val="24"/>
        </w:rPr>
        <w:t>Source: Ryan White HIV/AIDS Program Services Report (RSR), Tampa-St. Petersburg EMA CY 2015.</w:t>
      </w:r>
      <w:r w:rsidRPr="00AC544F">
        <w:rPr>
          <w:rFonts w:ascii="Arial" w:hAnsi="Arial" w:cs="Arial"/>
          <w:sz w:val="20"/>
          <w:szCs w:val="24"/>
        </w:rPr>
        <w:br/>
      </w:r>
    </w:p>
    <w:p w:rsidR="004225A2" w:rsidRPr="00AC544F" w:rsidRDefault="004225A2" w:rsidP="00454E80">
      <w:pPr>
        <w:spacing w:line="240" w:lineRule="auto"/>
        <w:jc w:val="both"/>
        <w:rPr>
          <w:rFonts w:ascii="Arial" w:hAnsi="Arial" w:cs="Arial"/>
          <w:color w:val="8064A2" w:themeColor="accent4"/>
          <w:sz w:val="24"/>
          <w:szCs w:val="24"/>
        </w:rPr>
      </w:pPr>
      <w:r w:rsidRPr="00AC544F">
        <w:rPr>
          <w:rFonts w:ascii="Arial" w:hAnsi="Arial" w:cs="Arial"/>
          <w:color w:val="000000" w:themeColor="text1"/>
          <w:sz w:val="24"/>
          <w:szCs w:val="24"/>
        </w:rPr>
        <w:t xml:space="preserve">The demographic characteristics of the EMA’s RWHAP clients are similar to the overall prevalence of HIV/AIDS in the EMA by gender and race. Whites in the EMA account for 45% of HIV and 47% of AIDS cases and account for 39.8% of clients who receive RWHAP services. Ryan White utilization by gender as well as among Blacks and Hispanics are within a 3.5% variance of their respective prevalence in the EMA. </w:t>
      </w:r>
    </w:p>
    <w:p w:rsidR="004225A2" w:rsidRPr="00AC544F" w:rsidRDefault="004225A2" w:rsidP="004225A2">
      <w:pPr>
        <w:spacing w:line="240" w:lineRule="auto"/>
        <w:jc w:val="center"/>
        <w:rPr>
          <w:rFonts w:ascii="Arial" w:hAnsi="Arial" w:cs="Arial"/>
          <w:sz w:val="24"/>
          <w:szCs w:val="24"/>
        </w:rPr>
      </w:pPr>
      <w:r w:rsidRPr="00AC544F">
        <w:rPr>
          <w:rFonts w:ascii="Arial" w:hAnsi="Arial" w:cs="Arial"/>
          <w:noProof/>
          <w:sz w:val="24"/>
          <w:szCs w:val="24"/>
        </w:rPr>
        <w:drawing>
          <wp:inline distT="0" distB="0" distL="0" distR="0" wp14:anchorId="7A5C7D6A" wp14:editId="49443C33">
            <wp:extent cx="4495800" cy="25622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225A2" w:rsidRPr="00AC544F" w:rsidRDefault="004225A2" w:rsidP="004225A2">
      <w:pPr>
        <w:spacing w:after="0" w:line="240" w:lineRule="auto"/>
        <w:rPr>
          <w:rFonts w:ascii="Arial" w:hAnsi="Arial" w:cs="Arial"/>
          <w:sz w:val="20"/>
          <w:szCs w:val="24"/>
        </w:rPr>
      </w:pPr>
      <w:r w:rsidRPr="00AC544F">
        <w:rPr>
          <w:rFonts w:ascii="Arial" w:hAnsi="Arial" w:cs="Arial"/>
          <w:sz w:val="20"/>
          <w:szCs w:val="24"/>
        </w:rPr>
        <w:t>Source: Ryan White HIV/AIDS Program Services Report (RSR), Tampa-St. Petersburg EMA CY 2015.</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8064A2" w:themeColor="accent4"/>
          <w:sz w:val="24"/>
          <w:szCs w:val="24"/>
        </w:rPr>
        <w:br/>
      </w:r>
      <w:r w:rsidRPr="00AC544F">
        <w:rPr>
          <w:rFonts w:ascii="Arial" w:hAnsi="Arial" w:cs="Arial"/>
          <w:color w:val="000000" w:themeColor="text1"/>
          <w:sz w:val="24"/>
          <w:szCs w:val="24"/>
        </w:rPr>
        <w:t>The percentage of Ryan White clients with a suppressed viral load (less than 200 ml/copies) in the EMA was 78% for calendar year 2015. The average viral load for clients in 2015 was 14,853 ml/copies. The average CD4 count was 588.74 cells/mm</w:t>
      </w:r>
      <w:r w:rsidRPr="00AC544F">
        <w:rPr>
          <w:rFonts w:ascii="Arial" w:hAnsi="Arial" w:cs="Arial"/>
          <w:color w:val="000000" w:themeColor="text1"/>
          <w:sz w:val="24"/>
          <w:szCs w:val="24"/>
          <w:vertAlign w:val="superscript"/>
        </w:rPr>
        <w:t>3</w:t>
      </w:r>
      <w:r w:rsidRPr="00AC544F">
        <w:rPr>
          <w:rFonts w:ascii="Arial" w:hAnsi="Arial" w:cs="Arial"/>
          <w:color w:val="000000" w:themeColor="text1"/>
          <w:sz w:val="24"/>
          <w:szCs w:val="24"/>
        </w:rPr>
        <w:t>. Approximately 57% of all RWHAP clients had a CD4 count of 500 cells/mm</w:t>
      </w:r>
      <w:r w:rsidRPr="00AC544F">
        <w:rPr>
          <w:rFonts w:ascii="Arial" w:hAnsi="Arial" w:cs="Arial"/>
          <w:color w:val="000000" w:themeColor="text1"/>
          <w:sz w:val="24"/>
          <w:szCs w:val="24"/>
          <w:vertAlign w:val="superscript"/>
        </w:rPr>
        <w:t>3</w:t>
      </w:r>
      <w:r w:rsidRPr="00AC544F">
        <w:rPr>
          <w:rFonts w:ascii="Arial" w:hAnsi="Arial" w:cs="Arial"/>
          <w:color w:val="000000" w:themeColor="text1"/>
          <w:sz w:val="24"/>
          <w:szCs w:val="24"/>
        </w:rPr>
        <w:t xml:space="preserve"> in 2015. This data was captured from Part A and Part B funded Outpatient Ambulatory Medical Care (OAMC) providers. </w:t>
      </w:r>
    </w:p>
    <w:p w:rsidR="004225A2" w:rsidRPr="00AC544F" w:rsidRDefault="004225A2" w:rsidP="00454E80">
      <w:pPr>
        <w:spacing w:line="240" w:lineRule="auto"/>
        <w:jc w:val="both"/>
        <w:rPr>
          <w:rFonts w:ascii="Arial" w:hAnsi="Arial" w:cs="Arial"/>
          <w:sz w:val="24"/>
          <w:szCs w:val="24"/>
        </w:rPr>
      </w:pPr>
      <w:r w:rsidRPr="00AC544F">
        <w:rPr>
          <w:rFonts w:ascii="Arial" w:hAnsi="Arial" w:cs="Arial"/>
          <w:sz w:val="24"/>
          <w:szCs w:val="24"/>
        </w:rPr>
        <w:lastRenderedPageBreak/>
        <w:t xml:space="preserve">The Florida AIDS Drug Assistance Program (ADAP) provides AIDS-specific medications at no cost to residents who qualify. Demographic disparities exist among racial and ethnic minorities with regards to accessing ADAP services in the EMA. Minority populations represent a greater proportion of HIV/AIDS cases within the EMA, but are accessing ADAP services in smaller numbers. Figure 13 shows the breakdown of ADAP clients by race. </w:t>
      </w:r>
    </w:p>
    <w:p w:rsidR="004225A2" w:rsidRPr="00AC544F" w:rsidRDefault="004225A2" w:rsidP="004225A2">
      <w:pPr>
        <w:spacing w:line="240" w:lineRule="auto"/>
        <w:jc w:val="center"/>
        <w:rPr>
          <w:rFonts w:ascii="Arial" w:hAnsi="Arial" w:cs="Arial"/>
          <w:color w:val="000000" w:themeColor="text1"/>
          <w:sz w:val="24"/>
          <w:szCs w:val="24"/>
        </w:rPr>
      </w:pPr>
      <w:r w:rsidRPr="00AC544F">
        <w:rPr>
          <w:rFonts w:ascii="Arial" w:hAnsi="Arial" w:cs="Arial"/>
          <w:noProof/>
          <w:sz w:val="24"/>
          <w:szCs w:val="24"/>
        </w:rPr>
        <w:drawing>
          <wp:inline distT="0" distB="0" distL="0" distR="0" wp14:anchorId="59C6518F" wp14:editId="2833BD68">
            <wp:extent cx="4743450" cy="2447925"/>
            <wp:effectExtent l="0" t="0" r="1905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225A2" w:rsidRPr="00AC544F" w:rsidRDefault="004225A2" w:rsidP="00B47552">
      <w:pPr>
        <w:spacing w:line="240" w:lineRule="auto"/>
        <w:jc w:val="center"/>
        <w:rPr>
          <w:rFonts w:ascii="Arial" w:hAnsi="Arial" w:cs="Arial"/>
          <w:sz w:val="20"/>
          <w:szCs w:val="24"/>
        </w:rPr>
      </w:pPr>
      <w:r w:rsidRPr="00AC544F">
        <w:rPr>
          <w:rFonts w:ascii="Arial" w:hAnsi="Arial" w:cs="Arial"/>
          <w:sz w:val="20"/>
          <w:szCs w:val="24"/>
        </w:rPr>
        <w:t>Source: Florida Department of Health, Florida AIDS Drug Assistance Program, 2011-2014.</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u w:val="single"/>
        </w:rPr>
        <w:t>d) Other relevant demographic data</w:t>
      </w:r>
      <w:r w:rsidRPr="00AC544F">
        <w:rPr>
          <w:rFonts w:ascii="Arial" w:hAnsi="Arial" w:cs="Arial"/>
          <w:color w:val="000000" w:themeColor="text1"/>
          <w:sz w:val="24"/>
          <w:szCs w:val="24"/>
        </w:rPr>
        <w:t xml:space="preserve">: The EMA has seen a steady increase of chlamydia and syphilis from 2011-2015 (Figure 14). The number of new cases has gone down for tuberculosis in the five year period. The number of positive tests in 2015 for hepatitis C (n=4,454), chlamydia (n= 13,414), gonorrhea (n= 3,897) and syphilis (n= 394) represent the highest levels since 2011-2012. </w:t>
      </w:r>
      <w:r w:rsidR="0056376E" w:rsidRPr="00AC544F">
        <w:rPr>
          <w:rFonts w:ascii="Arial" w:hAnsi="Arial" w:cs="Arial"/>
          <w:color w:val="000000" w:themeColor="text1"/>
          <w:sz w:val="24"/>
          <w:szCs w:val="24"/>
        </w:rPr>
        <w:t>See Attachment 2 for more demographic data and co-morbidities.</w:t>
      </w:r>
    </w:p>
    <w:p w:rsidR="004225A2" w:rsidRPr="00AC544F" w:rsidRDefault="004225A2" w:rsidP="004225A2">
      <w:pPr>
        <w:spacing w:line="240" w:lineRule="auto"/>
        <w:jc w:val="center"/>
        <w:rPr>
          <w:rFonts w:ascii="Arial" w:hAnsi="Arial" w:cs="Arial"/>
          <w:b/>
          <w:color w:val="00B0F0"/>
          <w:sz w:val="24"/>
          <w:szCs w:val="24"/>
        </w:rPr>
      </w:pPr>
      <w:r w:rsidRPr="00AC544F">
        <w:rPr>
          <w:rFonts w:ascii="Arial" w:hAnsi="Arial" w:cs="Arial"/>
          <w:b/>
          <w:noProof/>
          <w:color w:val="00B0F0"/>
          <w:sz w:val="24"/>
          <w:szCs w:val="24"/>
        </w:rPr>
        <w:drawing>
          <wp:inline distT="0" distB="0" distL="0" distR="0" wp14:anchorId="63F60C2E" wp14:editId="713E32E6">
            <wp:extent cx="5105400" cy="2028825"/>
            <wp:effectExtent l="0" t="0" r="1905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225A2" w:rsidRPr="00AC544F" w:rsidRDefault="004225A2" w:rsidP="004225A2">
      <w:pPr>
        <w:spacing w:line="240" w:lineRule="auto"/>
        <w:rPr>
          <w:rFonts w:ascii="Arial" w:hAnsi="Arial" w:cs="Arial"/>
          <w:b/>
          <w:color w:val="00B0F0"/>
          <w:sz w:val="20"/>
          <w:szCs w:val="24"/>
        </w:rPr>
      </w:pPr>
      <w:r w:rsidRPr="00AC544F">
        <w:rPr>
          <w:rFonts w:ascii="Arial" w:hAnsi="Arial" w:cs="Arial"/>
          <w:sz w:val="20"/>
          <w:szCs w:val="24"/>
        </w:rPr>
        <w:t>Source: Florida Department of Health, Tampa-St. Petersburg EMA Epidemiological Profiles CY 2011, 2012, 2013, 2014, 2015.</w:t>
      </w:r>
    </w:p>
    <w:p w:rsidR="00156703" w:rsidRPr="00AC544F" w:rsidRDefault="004225A2" w:rsidP="00A75EB9">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Overall, the number of persons living with HIV has been on the rise in the Tampa-St. Petersburg EMA. Since 2011, the incidence rate of HIV has risen 19% in the EMA, as </w:t>
      </w:r>
      <w:r w:rsidRPr="00AC544F">
        <w:rPr>
          <w:rFonts w:ascii="Arial" w:hAnsi="Arial" w:cs="Arial"/>
          <w:color w:val="000000" w:themeColor="text1"/>
          <w:sz w:val="24"/>
          <w:szCs w:val="24"/>
        </w:rPr>
        <w:lastRenderedPageBreak/>
        <w:t xml:space="preserve">previously indicated. By studying the indicators of risk, the EMA can plan where to focus its attention to decrease the number of new HIV infections. </w:t>
      </w:r>
    </w:p>
    <w:p w:rsidR="00B47552" w:rsidRPr="00AC544F" w:rsidRDefault="00B47552" w:rsidP="00A75EB9">
      <w:pPr>
        <w:spacing w:line="240" w:lineRule="auto"/>
        <w:jc w:val="both"/>
        <w:rPr>
          <w:rFonts w:ascii="Arial" w:hAnsi="Arial" w:cs="Arial"/>
          <w:color w:val="000000" w:themeColor="text1"/>
          <w:sz w:val="24"/>
          <w:szCs w:val="24"/>
        </w:rPr>
      </w:pPr>
    </w:p>
    <w:p w:rsidR="00A75EB9" w:rsidRPr="00AC544F" w:rsidRDefault="00A75EB9" w:rsidP="00A75EB9">
      <w:pPr>
        <w:spacing w:line="240" w:lineRule="auto"/>
        <w:jc w:val="both"/>
        <w:rPr>
          <w:rFonts w:ascii="Arial" w:hAnsi="Arial" w:cs="Arial"/>
          <w:b/>
          <w:color w:val="000000" w:themeColor="text1"/>
          <w:sz w:val="24"/>
          <w:szCs w:val="24"/>
        </w:rPr>
      </w:pPr>
      <w:r w:rsidRPr="00AC544F">
        <w:rPr>
          <w:rFonts w:ascii="Arial" w:hAnsi="Arial" w:cs="Arial"/>
          <w:b/>
          <w:color w:val="000000" w:themeColor="text1"/>
          <w:sz w:val="24"/>
          <w:szCs w:val="24"/>
        </w:rPr>
        <w:t>THE EPIDEMIC BY AREA</w:t>
      </w:r>
    </w:p>
    <w:p w:rsidR="00AC544F" w:rsidRPr="00AC544F" w:rsidRDefault="00A75EB9" w:rsidP="00A75EB9">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The State of Florida is broken down into numbered areas. The West Central Florida Ryan White Care Council covers three areas: Area 5, Area 6, and Area 14. </w:t>
      </w:r>
      <w:r w:rsidR="00E87D5A" w:rsidRPr="00AC544F">
        <w:rPr>
          <w:rFonts w:ascii="Arial" w:hAnsi="Arial" w:cs="Arial"/>
          <w:color w:val="000000" w:themeColor="text1"/>
          <w:sz w:val="24"/>
          <w:szCs w:val="24"/>
        </w:rPr>
        <w:t xml:space="preserve">The data is not available by county, only by area or EMA. </w:t>
      </w:r>
      <w:r w:rsidRPr="00AC544F">
        <w:rPr>
          <w:rFonts w:ascii="Arial" w:hAnsi="Arial" w:cs="Arial"/>
          <w:color w:val="000000" w:themeColor="text1"/>
          <w:sz w:val="24"/>
          <w:szCs w:val="24"/>
        </w:rPr>
        <w:t xml:space="preserve">In an effort to provide information regarding all the areas covered by the Care Council and not just the EMA, the following figures </w:t>
      </w:r>
      <w:r w:rsidR="00E87D5A" w:rsidRPr="00AC544F">
        <w:rPr>
          <w:rFonts w:ascii="Arial" w:hAnsi="Arial" w:cs="Arial"/>
          <w:color w:val="000000" w:themeColor="text1"/>
          <w:sz w:val="24"/>
          <w:szCs w:val="24"/>
        </w:rPr>
        <w:t>represent</w:t>
      </w:r>
      <w:r w:rsidRPr="00AC544F">
        <w:rPr>
          <w:rFonts w:ascii="Arial" w:hAnsi="Arial" w:cs="Arial"/>
          <w:color w:val="000000" w:themeColor="text1"/>
          <w:sz w:val="24"/>
          <w:szCs w:val="24"/>
        </w:rPr>
        <w:t xml:space="preserve"> the three geographic areas that make up the Total Service Area (TSA). </w:t>
      </w:r>
    </w:p>
    <w:p w:rsidR="00F945D3" w:rsidRPr="00AC544F" w:rsidRDefault="00F945D3" w:rsidP="00F945D3">
      <w:pPr>
        <w:spacing w:line="240" w:lineRule="auto"/>
        <w:jc w:val="center"/>
        <w:rPr>
          <w:rFonts w:ascii="Arial" w:hAnsi="Arial" w:cs="Arial"/>
          <w:b/>
          <w:color w:val="000000" w:themeColor="text1"/>
          <w:sz w:val="24"/>
          <w:szCs w:val="24"/>
        </w:rPr>
      </w:pPr>
      <w:r w:rsidRPr="00AC544F">
        <w:rPr>
          <w:rFonts w:ascii="Arial" w:hAnsi="Arial" w:cs="Arial"/>
          <w:b/>
          <w:color w:val="000000" w:themeColor="text1"/>
          <w:sz w:val="24"/>
          <w:szCs w:val="24"/>
        </w:rPr>
        <w:t>Figure 15: Area 5</w:t>
      </w:r>
      <w:r w:rsidR="00A75EB9" w:rsidRPr="00AC544F">
        <w:rPr>
          <w:rFonts w:ascii="Arial" w:hAnsi="Arial" w:cs="Arial"/>
          <w:b/>
          <w:color w:val="000000" w:themeColor="text1"/>
          <w:sz w:val="24"/>
          <w:szCs w:val="24"/>
        </w:rPr>
        <w:t xml:space="preserve"> includ</w:t>
      </w:r>
      <w:r w:rsidR="00AC544F">
        <w:rPr>
          <w:rFonts w:ascii="Arial" w:hAnsi="Arial" w:cs="Arial"/>
          <w:b/>
          <w:color w:val="000000" w:themeColor="text1"/>
          <w:sz w:val="24"/>
          <w:szCs w:val="24"/>
        </w:rPr>
        <w:t>es Pasco and Pinellas counties</w:t>
      </w:r>
    </w:p>
    <w:p w:rsidR="00156703" w:rsidRPr="00AC544F" w:rsidRDefault="00A75EB9" w:rsidP="00D12090">
      <w:pPr>
        <w:spacing w:line="240" w:lineRule="auto"/>
        <w:jc w:val="center"/>
        <w:rPr>
          <w:rFonts w:ascii="Arial" w:hAnsi="Arial" w:cs="Arial"/>
          <w:b/>
          <w:color w:val="000000" w:themeColor="text1"/>
          <w:sz w:val="24"/>
          <w:szCs w:val="24"/>
        </w:rPr>
      </w:pPr>
      <w:r w:rsidRPr="00AC544F">
        <w:rPr>
          <w:rFonts w:ascii="Arial" w:hAnsi="Arial" w:cs="Arial"/>
          <w:b/>
          <w:noProof/>
          <w:color w:val="000000" w:themeColor="text1"/>
          <w:sz w:val="24"/>
          <w:szCs w:val="24"/>
        </w:rPr>
        <w:drawing>
          <wp:inline distT="0" distB="0" distL="0" distR="0" wp14:anchorId="7A339ADC" wp14:editId="28C8ED20">
            <wp:extent cx="5339469" cy="251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3686" cy="2516586"/>
                    </a:xfrm>
                    <a:prstGeom prst="rect">
                      <a:avLst/>
                    </a:prstGeom>
                    <a:noFill/>
                    <a:ln>
                      <a:noFill/>
                    </a:ln>
                    <a:effectLst/>
                  </pic:spPr>
                </pic:pic>
              </a:graphicData>
            </a:graphic>
          </wp:inline>
        </w:drawing>
      </w:r>
    </w:p>
    <w:p w:rsidR="00B47552" w:rsidRPr="00AC544F" w:rsidRDefault="00B47552" w:rsidP="00B47552">
      <w:pPr>
        <w:spacing w:line="240" w:lineRule="auto"/>
        <w:jc w:val="center"/>
        <w:rPr>
          <w:rFonts w:ascii="Arial" w:hAnsi="Arial" w:cs="Arial"/>
          <w:sz w:val="20"/>
          <w:szCs w:val="24"/>
        </w:rPr>
      </w:pPr>
      <w:r w:rsidRPr="00AC544F">
        <w:rPr>
          <w:rFonts w:ascii="Arial" w:hAnsi="Arial" w:cs="Arial"/>
          <w:sz w:val="20"/>
          <w:szCs w:val="24"/>
        </w:rPr>
        <w:t>Source: Florida Department of Health, HIV/AIDS Section, 2016.</w:t>
      </w:r>
    </w:p>
    <w:p w:rsidR="00156703" w:rsidRDefault="00156703" w:rsidP="004225A2">
      <w:pPr>
        <w:spacing w:line="240" w:lineRule="auto"/>
        <w:rPr>
          <w:rFonts w:ascii="Arial" w:hAnsi="Arial" w:cs="Arial"/>
          <w:b/>
          <w:color w:val="000000" w:themeColor="text1"/>
          <w:sz w:val="24"/>
          <w:szCs w:val="24"/>
        </w:rPr>
      </w:pPr>
    </w:p>
    <w:p w:rsidR="00AC544F" w:rsidRDefault="00AC544F" w:rsidP="004225A2">
      <w:pPr>
        <w:spacing w:line="240" w:lineRule="auto"/>
        <w:rPr>
          <w:rFonts w:ascii="Arial" w:hAnsi="Arial" w:cs="Arial"/>
          <w:b/>
          <w:color w:val="000000" w:themeColor="text1"/>
          <w:sz w:val="24"/>
          <w:szCs w:val="24"/>
        </w:rPr>
      </w:pPr>
    </w:p>
    <w:p w:rsidR="00AC544F" w:rsidRDefault="00AC544F" w:rsidP="004225A2">
      <w:pPr>
        <w:spacing w:line="240" w:lineRule="auto"/>
        <w:rPr>
          <w:rFonts w:ascii="Arial" w:hAnsi="Arial" w:cs="Arial"/>
          <w:b/>
          <w:color w:val="000000" w:themeColor="text1"/>
          <w:sz w:val="24"/>
          <w:szCs w:val="24"/>
        </w:rPr>
      </w:pPr>
    </w:p>
    <w:p w:rsidR="00AC544F" w:rsidRDefault="00AC544F" w:rsidP="004225A2">
      <w:pPr>
        <w:spacing w:line="240" w:lineRule="auto"/>
        <w:rPr>
          <w:rFonts w:ascii="Arial" w:hAnsi="Arial" w:cs="Arial"/>
          <w:b/>
          <w:color w:val="000000" w:themeColor="text1"/>
          <w:sz w:val="24"/>
          <w:szCs w:val="24"/>
        </w:rPr>
      </w:pPr>
    </w:p>
    <w:p w:rsidR="00AC544F" w:rsidRDefault="00AC544F" w:rsidP="004225A2">
      <w:pPr>
        <w:spacing w:line="240" w:lineRule="auto"/>
        <w:rPr>
          <w:rFonts w:ascii="Arial" w:hAnsi="Arial" w:cs="Arial"/>
          <w:b/>
          <w:color w:val="000000" w:themeColor="text1"/>
          <w:sz w:val="24"/>
          <w:szCs w:val="24"/>
        </w:rPr>
      </w:pPr>
    </w:p>
    <w:p w:rsidR="00AC544F" w:rsidRDefault="00AC544F" w:rsidP="004225A2">
      <w:pPr>
        <w:spacing w:line="240" w:lineRule="auto"/>
        <w:rPr>
          <w:rFonts w:ascii="Arial" w:hAnsi="Arial" w:cs="Arial"/>
          <w:b/>
          <w:color w:val="000000" w:themeColor="text1"/>
          <w:sz w:val="24"/>
          <w:szCs w:val="24"/>
        </w:rPr>
      </w:pPr>
    </w:p>
    <w:p w:rsidR="00AC544F" w:rsidRDefault="00AC544F" w:rsidP="004225A2">
      <w:pPr>
        <w:spacing w:line="240" w:lineRule="auto"/>
        <w:rPr>
          <w:rFonts w:ascii="Arial" w:hAnsi="Arial" w:cs="Arial"/>
          <w:b/>
          <w:color w:val="000000" w:themeColor="text1"/>
          <w:sz w:val="24"/>
          <w:szCs w:val="24"/>
        </w:rPr>
      </w:pPr>
    </w:p>
    <w:p w:rsidR="00AC544F" w:rsidRDefault="00AC544F" w:rsidP="004225A2">
      <w:pPr>
        <w:spacing w:line="240" w:lineRule="auto"/>
        <w:rPr>
          <w:rFonts w:ascii="Arial" w:hAnsi="Arial" w:cs="Arial"/>
          <w:b/>
          <w:color w:val="000000" w:themeColor="text1"/>
          <w:sz w:val="24"/>
          <w:szCs w:val="24"/>
        </w:rPr>
      </w:pPr>
    </w:p>
    <w:p w:rsidR="00AC544F" w:rsidRPr="00AC544F" w:rsidRDefault="00AC544F" w:rsidP="004225A2">
      <w:pPr>
        <w:spacing w:line="240" w:lineRule="auto"/>
        <w:rPr>
          <w:rFonts w:ascii="Arial" w:hAnsi="Arial" w:cs="Arial"/>
          <w:b/>
          <w:color w:val="000000" w:themeColor="text1"/>
          <w:sz w:val="24"/>
          <w:szCs w:val="24"/>
        </w:rPr>
      </w:pPr>
    </w:p>
    <w:p w:rsidR="00156703" w:rsidRPr="00AC544F" w:rsidRDefault="00F945D3" w:rsidP="00F945D3">
      <w:pPr>
        <w:spacing w:line="240" w:lineRule="auto"/>
        <w:jc w:val="center"/>
        <w:rPr>
          <w:rFonts w:ascii="Arial" w:hAnsi="Arial" w:cs="Arial"/>
          <w:b/>
          <w:color w:val="000000" w:themeColor="text1"/>
          <w:sz w:val="24"/>
          <w:szCs w:val="24"/>
        </w:rPr>
      </w:pPr>
      <w:r w:rsidRPr="00AC544F">
        <w:rPr>
          <w:rFonts w:ascii="Arial" w:hAnsi="Arial" w:cs="Arial"/>
          <w:b/>
          <w:color w:val="000000" w:themeColor="text1"/>
          <w:sz w:val="24"/>
          <w:szCs w:val="24"/>
        </w:rPr>
        <w:lastRenderedPageBreak/>
        <w:t>Figure 16: Area 6</w:t>
      </w:r>
      <w:r w:rsidR="00A75EB9" w:rsidRPr="00AC544F">
        <w:rPr>
          <w:rFonts w:ascii="Arial" w:hAnsi="Arial" w:cs="Arial"/>
          <w:b/>
          <w:color w:val="000000" w:themeColor="text1"/>
          <w:sz w:val="24"/>
          <w:szCs w:val="24"/>
        </w:rPr>
        <w:t xml:space="preserve"> includes Hernando, Hil</w:t>
      </w:r>
      <w:r w:rsidRPr="00AC544F">
        <w:rPr>
          <w:rFonts w:ascii="Arial" w:hAnsi="Arial" w:cs="Arial"/>
          <w:b/>
          <w:color w:val="000000" w:themeColor="text1"/>
          <w:sz w:val="24"/>
          <w:szCs w:val="24"/>
        </w:rPr>
        <w:t>lsborough, and Manatee counties</w:t>
      </w:r>
    </w:p>
    <w:p w:rsidR="00156703" w:rsidRPr="00AC544F" w:rsidRDefault="00A75EB9" w:rsidP="00A75EB9">
      <w:pPr>
        <w:spacing w:line="240" w:lineRule="auto"/>
        <w:jc w:val="center"/>
        <w:rPr>
          <w:rFonts w:ascii="Arial" w:hAnsi="Arial" w:cs="Arial"/>
          <w:b/>
          <w:color w:val="000000" w:themeColor="text1"/>
          <w:sz w:val="24"/>
          <w:szCs w:val="24"/>
        </w:rPr>
      </w:pPr>
      <w:r w:rsidRPr="00AC544F">
        <w:rPr>
          <w:rFonts w:ascii="Arial" w:hAnsi="Arial" w:cs="Arial"/>
          <w:b/>
          <w:noProof/>
          <w:color w:val="000000" w:themeColor="text1"/>
          <w:sz w:val="24"/>
          <w:szCs w:val="24"/>
        </w:rPr>
        <w:drawing>
          <wp:inline distT="0" distB="0" distL="0" distR="0" wp14:anchorId="3F3D9A33" wp14:editId="39516B7F">
            <wp:extent cx="5486400" cy="2583795"/>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4219" cy="2592187"/>
                    </a:xfrm>
                    <a:prstGeom prst="rect">
                      <a:avLst/>
                    </a:prstGeom>
                    <a:noFill/>
                    <a:ln>
                      <a:noFill/>
                    </a:ln>
                    <a:effectLst/>
                  </pic:spPr>
                </pic:pic>
              </a:graphicData>
            </a:graphic>
          </wp:inline>
        </w:drawing>
      </w:r>
    </w:p>
    <w:p w:rsidR="00AC544F" w:rsidRPr="00AC544F" w:rsidRDefault="00B47552" w:rsidP="00AC544F">
      <w:pPr>
        <w:spacing w:line="240" w:lineRule="auto"/>
        <w:jc w:val="center"/>
        <w:rPr>
          <w:rFonts w:ascii="Arial" w:hAnsi="Arial" w:cs="Arial"/>
          <w:sz w:val="20"/>
          <w:szCs w:val="24"/>
        </w:rPr>
      </w:pPr>
      <w:r w:rsidRPr="00AC544F">
        <w:rPr>
          <w:rFonts w:ascii="Arial" w:hAnsi="Arial" w:cs="Arial"/>
          <w:sz w:val="20"/>
          <w:szCs w:val="24"/>
        </w:rPr>
        <w:t>Source: Florida Department of Health, HIV/AIDS Section, 2016.</w:t>
      </w:r>
    </w:p>
    <w:p w:rsidR="00AC544F" w:rsidRPr="00AC544F" w:rsidRDefault="00AC544F" w:rsidP="004225A2">
      <w:pPr>
        <w:spacing w:line="240" w:lineRule="auto"/>
        <w:rPr>
          <w:rFonts w:ascii="Arial" w:hAnsi="Arial" w:cs="Arial"/>
          <w:b/>
          <w:color w:val="000000" w:themeColor="text1"/>
          <w:sz w:val="24"/>
          <w:szCs w:val="24"/>
        </w:rPr>
      </w:pPr>
    </w:p>
    <w:p w:rsidR="00156703" w:rsidRPr="00AC544F" w:rsidRDefault="00F945D3" w:rsidP="00F945D3">
      <w:pPr>
        <w:spacing w:line="240" w:lineRule="auto"/>
        <w:jc w:val="center"/>
        <w:rPr>
          <w:rFonts w:ascii="Arial" w:hAnsi="Arial" w:cs="Arial"/>
          <w:b/>
          <w:color w:val="000000" w:themeColor="text1"/>
          <w:sz w:val="24"/>
          <w:szCs w:val="24"/>
        </w:rPr>
      </w:pPr>
      <w:r w:rsidRPr="00AC544F">
        <w:rPr>
          <w:rFonts w:ascii="Arial" w:hAnsi="Arial" w:cs="Arial"/>
          <w:b/>
          <w:color w:val="000000" w:themeColor="text1"/>
          <w:sz w:val="24"/>
          <w:szCs w:val="24"/>
        </w:rPr>
        <w:t xml:space="preserve">Figure 17: Area 14 </w:t>
      </w:r>
      <w:r w:rsidR="00E87D5A" w:rsidRPr="00AC544F">
        <w:rPr>
          <w:rFonts w:ascii="Arial" w:hAnsi="Arial" w:cs="Arial"/>
          <w:b/>
          <w:color w:val="000000" w:themeColor="text1"/>
          <w:sz w:val="24"/>
          <w:szCs w:val="24"/>
        </w:rPr>
        <w:t>includes Harde</w:t>
      </w:r>
      <w:r w:rsidRPr="00AC544F">
        <w:rPr>
          <w:rFonts w:ascii="Arial" w:hAnsi="Arial" w:cs="Arial"/>
          <w:b/>
          <w:color w:val="000000" w:themeColor="text1"/>
          <w:sz w:val="24"/>
          <w:szCs w:val="24"/>
        </w:rPr>
        <w:t>e, Highlands, and Polk counties</w:t>
      </w:r>
    </w:p>
    <w:p w:rsidR="00156703" w:rsidRPr="00AC544F" w:rsidRDefault="00E87D5A" w:rsidP="00E87D5A">
      <w:pPr>
        <w:spacing w:line="240" w:lineRule="auto"/>
        <w:jc w:val="center"/>
        <w:rPr>
          <w:rFonts w:ascii="Arial" w:hAnsi="Arial" w:cs="Arial"/>
          <w:b/>
          <w:color w:val="000000" w:themeColor="text1"/>
          <w:sz w:val="24"/>
          <w:szCs w:val="24"/>
        </w:rPr>
      </w:pPr>
      <w:r w:rsidRPr="00AC544F">
        <w:rPr>
          <w:rFonts w:ascii="Arial" w:hAnsi="Arial" w:cs="Arial"/>
          <w:b/>
          <w:noProof/>
          <w:color w:val="000000" w:themeColor="text1"/>
          <w:sz w:val="24"/>
          <w:szCs w:val="24"/>
        </w:rPr>
        <w:drawing>
          <wp:inline distT="0" distB="0" distL="0" distR="0" wp14:anchorId="0395C03B" wp14:editId="22FC49CA">
            <wp:extent cx="5400144" cy="2543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9530" cy="2547595"/>
                    </a:xfrm>
                    <a:prstGeom prst="rect">
                      <a:avLst/>
                    </a:prstGeom>
                    <a:noFill/>
                    <a:ln>
                      <a:noFill/>
                    </a:ln>
                    <a:effectLst/>
                  </pic:spPr>
                </pic:pic>
              </a:graphicData>
            </a:graphic>
          </wp:inline>
        </w:drawing>
      </w:r>
    </w:p>
    <w:p w:rsidR="00B47552" w:rsidRPr="00AC544F" w:rsidRDefault="00B47552" w:rsidP="00B47552">
      <w:pPr>
        <w:spacing w:line="240" w:lineRule="auto"/>
        <w:jc w:val="center"/>
        <w:rPr>
          <w:rFonts w:ascii="Arial" w:hAnsi="Arial" w:cs="Arial"/>
          <w:sz w:val="20"/>
          <w:szCs w:val="24"/>
        </w:rPr>
      </w:pPr>
      <w:r w:rsidRPr="00AC544F">
        <w:rPr>
          <w:rFonts w:ascii="Arial" w:hAnsi="Arial" w:cs="Arial"/>
          <w:sz w:val="20"/>
          <w:szCs w:val="24"/>
        </w:rPr>
        <w:t>Source: Florida Department of Health, HIV/AIDS Section, 2016.</w:t>
      </w:r>
    </w:p>
    <w:p w:rsidR="00156703" w:rsidRPr="00AC544F" w:rsidRDefault="00156703" w:rsidP="004225A2">
      <w:pPr>
        <w:spacing w:line="240" w:lineRule="auto"/>
        <w:rPr>
          <w:rFonts w:ascii="Arial" w:hAnsi="Arial" w:cs="Arial"/>
          <w:b/>
          <w:color w:val="000000" w:themeColor="text1"/>
          <w:sz w:val="24"/>
          <w:szCs w:val="24"/>
        </w:rPr>
      </w:pPr>
    </w:p>
    <w:p w:rsidR="00156703" w:rsidRPr="00AC544F" w:rsidRDefault="00156703" w:rsidP="004225A2">
      <w:pPr>
        <w:spacing w:line="240" w:lineRule="auto"/>
        <w:rPr>
          <w:rFonts w:ascii="Arial" w:hAnsi="Arial" w:cs="Arial"/>
          <w:b/>
          <w:color w:val="000000" w:themeColor="text1"/>
          <w:sz w:val="24"/>
          <w:szCs w:val="24"/>
        </w:rPr>
      </w:pPr>
    </w:p>
    <w:p w:rsidR="00156703" w:rsidRPr="00AC544F" w:rsidRDefault="00156703" w:rsidP="004225A2">
      <w:pPr>
        <w:spacing w:line="240" w:lineRule="auto"/>
        <w:rPr>
          <w:rFonts w:ascii="Arial" w:hAnsi="Arial" w:cs="Arial"/>
          <w:b/>
          <w:color w:val="000000" w:themeColor="text1"/>
          <w:sz w:val="24"/>
          <w:szCs w:val="24"/>
        </w:rPr>
      </w:pPr>
    </w:p>
    <w:p w:rsidR="00156703" w:rsidRPr="00AC544F" w:rsidRDefault="00156703" w:rsidP="004225A2">
      <w:pPr>
        <w:spacing w:line="240" w:lineRule="auto"/>
        <w:rPr>
          <w:rFonts w:ascii="Arial" w:hAnsi="Arial" w:cs="Arial"/>
          <w:b/>
          <w:color w:val="000000" w:themeColor="text1"/>
          <w:sz w:val="24"/>
          <w:szCs w:val="24"/>
        </w:rPr>
      </w:pPr>
    </w:p>
    <w:p w:rsidR="009F5741" w:rsidRPr="00AC544F" w:rsidRDefault="009F5741" w:rsidP="004225A2">
      <w:pPr>
        <w:spacing w:line="240" w:lineRule="auto"/>
        <w:rPr>
          <w:rFonts w:ascii="Arial" w:hAnsi="Arial" w:cs="Arial"/>
          <w:b/>
          <w:color w:val="000000" w:themeColor="text1"/>
          <w:sz w:val="24"/>
          <w:szCs w:val="24"/>
        </w:rPr>
      </w:pPr>
    </w:p>
    <w:p w:rsidR="00B47552" w:rsidRDefault="00B47552" w:rsidP="004225A2">
      <w:pPr>
        <w:spacing w:line="240" w:lineRule="auto"/>
        <w:rPr>
          <w:rFonts w:ascii="Times Roman" w:hAnsi="Times Roman"/>
          <w:b/>
          <w:color w:val="000000" w:themeColor="text1"/>
          <w:sz w:val="24"/>
          <w:szCs w:val="24"/>
        </w:rPr>
      </w:pP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b/>
          <w:bCs/>
          <w:color w:val="000000"/>
          <w:w w:val="97"/>
          <w:sz w:val="24"/>
          <w:szCs w:val="24"/>
        </w:rPr>
      </w:pPr>
      <w:r w:rsidRPr="00AC544F">
        <w:rPr>
          <w:rFonts w:ascii="Arial" w:eastAsia="Times New Roman" w:hAnsi="Arial" w:cs="Arial"/>
          <w:b/>
          <w:bCs/>
          <w:color w:val="000000"/>
          <w:w w:val="97"/>
          <w:sz w:val="24"/>
          <w:szCs w:val="24"/>
        </w:rPr>
        <w:t>ACKNOWLEDGMENTS</w:t>
      </w: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 xml:space="preserve">The </w:t>
      </w:r>
      <w:r w:rsidR="005D0A22" w:rsidRPr="00AC544F">
        <w:rPr>
          <w:rFonts w:ascii="Arial" w:eastAsia="Times New Roman" w:hAnsi="Arial" w:cs="Arial"/>
          <w:color w:val="000000"/>
          <w:w w:val="97"/>
          <w:sz w:val="24"/>
          <w:szCs w:val="24"/>
        </w:rPr>
        <w:t xml:space="preserve">West Central Florida </w:t>
      </w:r>
      <w:r w:rsidRPr="00AC544F">
        <w:rPr>
          <w:rFonts w:ascii="Arial" w:eastAsia="Times New Roman" w:hAnsi="Arial" w:cs="Arial"/>
          <w:color w:val="000000"/>
          <w:w w:val="97"/>
          <w:sz w:val="24"/>
          <w:szCs w:val="24"/>
        </w:rPr>
        <w:t>Ryan White Care Council wishes to recognize the contributions of the following:</w:t>
      </w: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b/>
          <w:bCs/>
          <w:color w:val="000000"/>
          <w:w w:val="97"/>
          <w:sz w:val="24"/>
          <w:szCs w:val="24"/>
          <w:u w:val="single"/>
        </w:rPr>
      </w:pPr>
      <w:r w:rsidRPr="00AC544F">
        <w:rPr>
          <w:rFonts w:ascii="Arial" w:eastAsia="Times New Roman" w:hAnsi="Arial" w:cs="Arial"/>
          <w:b/>
          <w:bCs/>
          <w:color w:val="000000"/>
          <w:w w:val="97"/>
          <w:sz w:val="24"/>
          <w:szCs w:val="24"/>
          <w:u w:val="single"/>
        </w:rPr>
        <w:t>Planning and Evaluation Committee Members</w:t>
      </w: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Jim Roth, Chair</w:t>
      </w:r>
    </w:p>
    <w:p w:rsidR="00156703" w:rsidRPr="00AC544F" w:rsidRDefault="00885AD0"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Kirsty Gutierrez</w:t>
      </w:r>
      <w:r w:rsidR="00156703" w:rsidRPr="00AC544F">
        <w:rPr>
          <w:rFonts w:ascii="Arial" w:eastAsia="Times New Roman" w:hAnsi="Arial" w:cs="Arial"/>
          <w:color w:val="000000"/>
          <w:w w:val="97"/>
          <w:sz w:val="24"/>
          <w:szCs w:val="24"/>
        </w:rPr>
        <w:t>, Co-Chair</w:t>
      </w: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p>
    <w:p w:rsidR="00156703"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Ginny Boucher</w:t>
      </w:r>
    </w:p>
    <w:p w:rsidR="00F9562A" w:rsidRPr="00AC544F" w:rsidRDefault="00F9562A"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Pr>
          <w:rFonts w:ascii="Arial" w:eastAsia="Times New Roman" w:hAnsi="Arial" w:cs="Arial"/>
          <w:color w:val="000000"/>
          <w:w w:val="97"/>
          <w:sz w:val="24"/>
          <w:szCs w:val="24"/>
        </w:rPr>
        <w:t>Antuan Butler</w:t>
      </w: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Martin Clemmons, Jr.</w:t>
      </w:r>
    </w:p>
    <w:p w:rsidR="00885AD0" w:rsidRPr="00AC544F" w:rsidRDefault="00885AD0"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Eda Dugas</w:t>
      </w:r>
    </w:p>
    <w:p w:rsidR="00885AD0" w:rsidRPr="00AC544F" w:rsidRDefault="00885AD0"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 xml:space="preserve">Nicole </w:t>
      </w:r>
      <w:r w:rsidR="00F9562A">
        <w:rPr>
          <w:rFonts w:ascii="Arial" w:eastAsia="Times New Roman" w:hAnsi="Arial" w:cs="Arial"/>
          <w:color w:val="000000"/>
          <w:w w:val="97"/>
          <w:sz w:val="24"/>
          <w:szCs w:val="24"/>
        </w:rPr>
        <w:t>Kish</w:t>
      </w:r>
    </w:p>
    <w:p w:rsidR="00156703" w:rsidRPr="00AC544F" w:rsidRDefault="00885AD0"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Court Holloway</w:t>
      </w:r>
    </w:p>
    <w:p w:rsidR="00885AD0" w:rsidRPr="00AC544F" w:rsidRDefault="00885AD0"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Sheryl Hoolsema</w:t>
      </w: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Marylin Merida</w:t>
      </w: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Vicky Oliver</w:t>
      </w:r>
    </w:p>
    <w:p w:rsidR="00156703" w:rsidRPr="00AC544F" w:rsidRDefault="00885AD0"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Elizabeth Rugg</w:t>
      </w:r>
    </w:p>
    <w:p w:rsidR="00885AD0" w:rsidRPr="00AC544F" w:rsidRDefault="00885AD0"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b/>
          <w:bCs/>
          <w:color w:val="000000"/>
          <w:w w:val="97"/>
          <w:sz w:val="24"/>
          <w:szCs w:val="24"/>
          <w:u w:val="single"/>
        </w:rPr>
      </w:pPr>
      <w:r w:rsidRPr="00AC544F">
        <w:rPr>
          <w:rFonts w:ascii="Arial" w:eastAsia="Times New Roman" w:hAnsi="Arial" w:cs="Arial"/>
          <w:b/>
          <w:bCs/>
          <w:color w:val="000000"/>
          <w:w w:val="97"/>
          <w:sz w:val="24"/>
          <w:szCs w:val="24"/>
          <w:u w:val="single"/>
        </w:rPr>
        <w:t>Other Contributors</w:t>
      </w: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Lorene Maddox, Florida Department of Health, Bureau of Communicable Disease, HIV/AIDS Section</w:t>
      </w:r>
    </w:p>
    <w:p w:rsidR="00156703" w:rsidRPr="00AC544F" w:rsidRDefault="00156703" w:rsidP="004225A2">
      <w:pPr>
        <w:spacing w:line="240" w:lineRule="auto"/>
        <w:rPr>
          <w:rFonts w:ascii="Arial" w:hAnsi="Arial" w:cs="Arial"/>
          <w:b/>
          <w:color w:val="000000" w:themeColor="text1"/>
          <w:sz w:val="24"/>
          <w:szCs w:val="24"/>
        </w:rPr>
      </w:pPr>
    </w:p>
    <w:p w:rsidR="00A81B92" w:rsidRPr="00AC544F" w:rsidRDefault="00A81B92" w:rsidP="004225A2">
      <w:pPr>
        <w:spacing w:line="240" w:lineRule="auto"/>
        <w:rPr>
          <w:rFonts w:ascii="Arial" w:hAnsi="Arial" w:cs="Arial"/>
          <w:b/>
          <w:color w:val="000000" w:themeColor="text1"/>
          <w:sz w:val="24"/>
          <w:szCs w:val="24"/>
        </w:rPr>
      </w:pPr>
    </w:p>
    <w:p w:rsidR="00A81B92" w:rsidRPr="00AC544F" w:rsidRDefault="00A81B92" w:rsidP="004225A2">
      <w:pPr>
        <w:spacing w:line="240" w:lineRule="auto"/>
        <w:rPr>
          <w:rFonts w:ascii="Arial" w:hAnsi="Arial" w:cs="Arial"/>
          <w:b/>
          <w:color w:val="000000" w:themeColor="text1"/>
          <w:sz w:val="24"/>
          <w:szCs w:val="24"/>
        </w:rPr>
      </w:pPr>
    </w:p>
    <w:p w:rsidR="00A81B92" w:rsidRPr="00AC544F" w:rsidRDefault="00A81B92" w:rsidP="004225A2">
      <w:pPr>
        <w:spacing w:line="240" w:lineRule="auto"/>
        <w:rPr>
          <w:rFonts w:ascii="Arial" w:hAnsi="Arial" w:cs="Arial"/>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A81B92">
      <w:pPr>
        <w:spacing w:after="0"/>
      </w:pPr>
    </w:p>
    <w:tbl>
      <w:tblPr>
        <w:tblStyle w:val="TableGrid"/>
        <w:tblpPr w:leftFromText="180" w:rightFromText="180" w:vertAnchor="text" w:horzAnchor="margin" w:tblpY="1009"/>
        <w:tblOverlap w:val="never"/>
        <w:tblW w:w="0" w:type="auto"/>
        <w:tblLook w:val="04A0" w:firstRow="1" w:lastRow="0" w:firstColumn="1" w:lastColumn="0" w:noHBand="0" w:noVBand="1"/>
        <w:tblCaption w:val="AIDS PREVALENCE AND HIV (NON AIDS) PREVALENCE DATA BY DEMOGRAPHIC GROUP AND EXPOSURE CATEGORY"/>
      </w:tblPr>
      <w:tblGrid>
        <w:gridCol w:w="2141"/>
        <w:gridCol w:w="901"/>
        <w:gridCol w:w="938"/>
        <w:gridCol w:w="1024"/>
        <w:gridCol w:w="1066"/>
        <w:gridCol w:w="1598"/>
        <w:gridCol w:w="1908"/>
      </w:tblGrid>
      <w:tr w:rsidR="00A81B92" w:rsidTr="00A81B92">
        <w:tc>
          <w:tcPr>
            <w:tcW w:w="0" w:type="auto"/>
            <w:shd w:val="clear" w:color="auto" w:fill="D9D9D9" w:themeFill="background1" w:themeFillShade="D9"/>
            <w:vAlign w:val="center"/>
          </w:tcPr>
          <w:p w:rsidR="00A81B92" w:rsidRDefault="00A81B92" w:rsidP="00A81B92">
            <w:pPr>
              <w:jc w:val="center"/>
              <w:rPr>
                <w:rFonts w:ascii="Times Roman" w:hAnsi="Times Roman"/>
                <w:b/>
                <w:sz w:val="20"/>
                <w:szCs w:val="20"/>
              </w:rPr>
            </w:pPr>
          </w:p>
          <w:p w:rsidR="00A81B92" w:rsidRPr="00A07D1D" w:rsidRDefault="00A81B92" w:rsidP="00A81B92">
            <w:pPr>
              <w:jc w:val="center"/>
              <w:rPr>
                <w:rFonts w:ascii="Times Roman" w:hAnsi="Times Roman"/>
                <w:b/>
                <w:sz w:val="20"/>
                <w:szCs w:val="20"/>
              </w:rPr>
            </w:pPr>
            <w:r w:rsidRPr="00A07D1D">
              <w:rPr>
                <w:rFonts w:ascii="Times Roman" w:hAnsi="Times Roman"/>
                <w:b/>
                <w:sz w:val="20"/>
                <w:szCs w:val="20"/>
              </w:rPr>
              <w:t>Demographic Group/</w:t>
            </w:r>
          </w:p>
          <w:p w:rsidR="00A81B92" w:rsidRDefault="00A81B92" w:rsidP="00A81B92">
            <w:pPr>
              <w:jc w:val="center"/>
              <w:rPr>
                <w:rFonts w:ascii="Times Roman" w:hAnsi="Times Roman"/>
                <w:b/>
                <w:sz w:val="20"/>
                <w:szCs w:val="20"/>
              </w:rPr>
            </w:pPr>
            <w:r w:rsidRPr="00A07D1D">
              <w:rPr>
                <w:rFonts w:ascii="Times Roman" w:hAnsi="Times Roman"/>
                <w:b/>
                <w:sz w:val="20"/>
                <w:szCs w:val="20"/>
              </w:rPr>
              <w:t>Exposure Category</w:t>
            </w:r>
          </w:p>
          <w:p w:rsidR="00A81B92" w:rsidRPr="00A07D1D" w:rsidRDefault="00A81B92" w:rsidP="00A81B92">
            <w:pPr>
              <w:jc w:val="center"/>
              <w:rPr>
                <w:rFonts w:ascii="Times Roman" w:hAnsi="Times Roman"/>
                <w:sz w:val="20"/>
                <w:szCs w:val="20"/>
              </w:rPr>
            </w:pPr>
          </w:p>
        </w:tc>
        <w:tc>
          <w:tcPr>
            <w:tcW w:w="0" w:type="auto"/>
            <w:gridSpan w:val="2"/>
            <w:shd w:val="clear" w:color="auto" w:fill="D9D9D9" w:themeFill="background1" w:themeFillShade="D9"/>
            <w:vAlign w:val="center"/>
          </w:tcPr>
          <w:p w:rsidR="00A81B92" w:rsidRPr="00A07D1D" w:rsidRDefault="00A81B92" w:rsidP="00A81B92">
            <w:pPr>
              <w:jc w:val="center"/>
              <w:rPr>
                <w:rFonts w:ascii="Times Roman" w:hAnsi="Times Roman"/>
                <w:b/>
                <w:smallCaps/>
                <w:sz w:val="20"/>
                <w:szCs w:val="20"/>
              </w:rPr>
            </w:pPr>
            <w:r w:rsidRPr="00A07D1D">
              <w:rPr>
                <w:rFonts w:ascii="Times Roman" w:hAnsi="Times Roman"/>
                <w:b/>
                <w:smallCaps/>
                <w:sz w:val="20"/>
                <w:szCs w:val="20"/>
              </w:rPr>
              <w:t>201</w:t>
            </w:r>
            <w:r>
              <w:rPr>
                <w:rFonts w:ascii="Times Roman" w:hAnsi="Times Roman"/>
                <w:b/>
                <w:smallCaps/>
                <w:sz w:val="20"/>
                <w:szCs w:val="20"/>
              </w:rPr>
              <w:t>3- Prevalence as of  12/31/13</w:t>
            </w:r>
          </w:p>
        </w:tc>
        <w:tc>
          <w:tcPr>
            <w:tcW w:w="0" w:type="auto"/>
            <w:gridSpan w:val="2"/>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2014-PREVALENCE AS OF 12/31/14</w:t>
            </w:r>
          </w:p>
        </w:tc>
        <w:tc>
          <w:tcPr>
            <w:tcW w:w="0" w:type="auto"/>
            <w:gridSpan w:val="2"/>
            <w:shd w:val="clear" w:color="auto" w:fill="D9D9D9" w:themeFill="background1" w:themeFillShade="D9"/>
            <w:vAlign w:val="center"/>
          </w:tcPr>
          <w:p w:rsidR="00A81B92" w:rsidRDefault="00A81B92" w:rsidP="00A81B92">
            <w:pPr>
              <w:jc w:val="center"/>
              <w:rPr>
                <w:rFonts w:ascii="Times Roman" w:hAnsi="Times Roman"/>
                <w:b/>
                <w:sz w:val="20"/>
                <w:szCs w:val="20"/>
              </w:rPr>
            </w:pPr>
            <w:r w:rsidRPr="00A07D1D">
              <w:rPr>
                <w:rFonts w:ascii="Times Roman" w:hAnsi="Times Roman"/>
                <w:b/>
                <w:sz w:val="20"/>
                <w:szCs w:val="20"/>
              </w:rPr>
              <w:t>201</w:t>
            </w:r>
            <w:r>
              <w:rPr>
                <w:rFonts w:ascii="Times Roman" w:hAnsi="Times Roman"/>
                <w:b/>
                <w:sz w:val="20"/>
                <w:szCs w:val="20"/>
              </w:rPr>
              <w:t>5</w:t>
            </w:r>
            <w:r w:rsidRPr="00A07D1D">
              <w:rPr>
                <w:rFonts w:ascii="Times Roman" w:hAnsi="Times Roman"/>
                <w:b/>
                <w:sz w:val="20"/>
                <w:szCs w:val="20"/>
              </w:rPr>
              <w:t xml:space="preserve">-PREVALENCE AS OF </w:t>
            </w:r>
          </w:p>
          <w:p w:rsidR="00A81B92" w:rsidRPr="00A07D1D" w:rsidRDefault="00A81B92" w:rsidP="00A81B92">
            <w:pPr>
              <w:jc w:val="center"/>
              <w:rPr>
                <w:rFonts w:ascii="Times Roman" w:hAnsi="Times Roman"/>
                <w:b/>
                <w:sz w:val="20"/>
                <w:szCs w:val="20"/>
              </w:rPr>
            </w:pPr>
            <w:r w:rsidRPr="00A07D1D">
              <w:rPr>
                <w:rFonts w:ascii="Times Roman" w:hAnsi="Times Roman"/>
                <w:b/>
                <w:sz w:val="20"/>
                <w:szCs w:val="20"/>
              </w:rPr>
              <w:t>12/31/1</w:t>
            </w:r>
            <w:r>
              <w:rPr>
                <w:rFonts w:ascii="Times Roman" w:hAnsi="Times Roman"/>
                <w:b/>
                <w:sz w:val="20"/>
                <w:szCs w:val="20"/>
              </w:rPr>
              <w:t>5</w:t>
            </w:r>
          </w:p>
        </w:tc>
      </w:tr>
      <w:tr w:rsidR="00A81B92" w:rsidTr="00A81B92">
        <w:tc>
          <w:tcPr>
            <w:tcW w:w="0" w:type="auto"/>
            <w:shd w:val="clear" w:color="auto" w:fill="D9D9D9" w:themeFill="background1" w:themeFillShade="D9"/>
            <w:vAlign w:val="center"/>
          </w:tcPr>
          <w:p w:rsidR="00A81B92" w:rsidRDefault="00A81B92" w:rsidP="00A81B92">
            <w:pPr>
              <w:jc w:val="center"/>
              <w:rPr>
                <w:rFonts w:ascii="Times Roman" w:hAnsi="Times Roman"/>
                <w:b/>
                <w:i/>
                <w:sz w:val="20"/>
                <w:szCs w:val="20"/>
              </w:rPr>
            </w:pPr>
          </w:p>
          <w:p w:rsidR="00A81B92" w:rsidRDefault="00A81B92" w:rsidP="00A81B92">
            <w:pPr>
              <w:jc w:val="center"/>
              <w:rPr>
                <w:rFonts w:ascii="Times Roman" w:hAnsi="Times Roman"/>
                <w:b/>
                <w:i/>
                <w:sz w:val="20"/>
                <w:szCs w:val="20"/>
              </w:rPr>
            </w:pPr>
            <w:r w:rsidRPr="00A07D1D">
              <w:rPr>
                <w:rFonts w:ascii="Times Roman" w:hAnsi="Times Roman"/>
                <w:b/>
                <w:i/>
                <w:sz w:val="20"/>
                <w:szCs w:val="20"/>
              </w:rPr>
              <w:t>Race/Ethnicity</w:t>
            </w:r>
          </w:p>
          <w:p w:rsidR="00A81B92" w:rsidRPr="00A07D1D" w:rsidRDefault="00A81B92" w:rsidP="00A81B92">
            <w:pPr>
              <w:jc w:val="center"/>
              <w:rPr>
                <w:rFonts w:ascii="Times Roman" w:hAnsi="Times Roman"/>
                <w:sz w:val="20"/>
                <w:szCs w:val="20"/>
              </w:rPr>
            </w:pP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c>
          <w:tcPr>
            <w:tcW w:w="1598" w:type="dxa"/>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1908" w:type="dxa"/>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White, not Hispanic</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2,275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3,223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2,388</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3,262</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2,473</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3,269</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Black, not Hispanic</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1,845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2,307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1,935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2,408</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2,037</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2,463</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Hispanic</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776</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1,013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838</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1,058</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941</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1,090</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Other / Unknown</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114</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144</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112</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153</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116</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151</w:t>
            </w:r>
          </w:p>
        </w:tc>
      </w:tr>
      <w:tr w:rsidR="00A81B92" w:rsidTr="00A81B92">
        <w:tc>
          <w:tcPr>
            <w:tcW w:w="0" w:type="auto"/>
            <w:shd w:val="clear" w:color="auto" w:fill="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b/>
                <w:sz w:val="20"/>
                <w:szCs w:val="20"/>
              </w:rPr>
              <w:t>Total</w:t>
            </w:r>
          </w:p>
        </w:tc>
        <w:tc>
          <w:tcPr>
            <w:tcW w:w="0" w:type="auto"/>
            <w:shd w:val="clear" w:color="auto" w:fill="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5,010</w:t>
            </w:r>
          </w:p>
        </w:tc>
        <w:tc>
          <w:tcPr>
            <w:tcW w:w="0" w:type="auto"/>
            <w:shd w:val="clear" w:color="auto" w:fill="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6,687</w:t>
            </w:r>
          </w:p>
        </w:tc>
        <w:tc>
          <w:tcPr>
            <w:tcW w:w="0" w:type="auto"/>
            <w:shd w:val="clear" w:color="auto" w:fill="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5,273</w:t>
            </w:r>
          </w:p>
        </w:tc>
        <w:tc>
          <w:tcPr>
            <w:tcW w:w="0" w:type="auto"/>
            <w:shd w:val="clear" w:color="auto" w:fill="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6,881</w:t>
            </w:r>
          </w:p>
        </w:tc>
        <w:tc>
          <w:tcPr>
            <w:tcW w:w="1598" w:type="dxa"/>
            <w:shd w:val="clear" w:color="auto" w:fill="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5,567</w:t>
            </w:r>
          </w:p>
        </w:tc>
        <w:tc>
          <w:tcPr>
            <w:tcW w:w="1908" w:type="dxa"/>
            <w:shd w:val="clear" w:color="auto" w:fill="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6,973</w:t>
            </w:r>
          </w:p>
        </w:tc>
      </w:tr>
      <w:tr w:rsidR="00A81B92" w:rsidTr="00A81B92">
        <w:tc>
          <w:tcPr>
            <w:tcW w:w="0" w:type="auto"/>
            <w:shd w:val="clear" w:color="auto" w:fill="D9D9D9" w:themeFill="background1" w:themeFillShade="D9"/>
            <w:vAlign w:val="center"/>
          </w:tcPr>
          <w:p w:rsidR="00A81B92" w:rsidRDefault="00A81B92" w:rsidP="00A81B92">
            <w:pPr>
              <w:jc w:val="center"/>
              <w:rPr>
                <w:rFonts w:ascii="Times Roman" w:hAnsi="Times Roman"/>
                <w:b/>
                <w:i/>
                <w:sz w:val="20"/>
                <w:szCs w:val="20"/>
              </w:rPr>
            </w:pPr>
          </w:p>
          <w:p w:rsidR="00A81B92" w:rsidRDefault="00A81B92" w:rsidP="00A81B92">
            <w:pPr>
              <w:jc w:val="center"/>
              <w:rPr>
                <w:rFonts w:ascii="Times Roman" w:hAnsi="Times Roman"/>
                <w:b/>
                <w:i/>
                <w:sz w:val="20"/>
                <w:szCs w:val="20"/>
              </w:rPr>
            </w:pPr>
            <w:r w:rsidRPr="00A07D1D">
              <w:rPr>
                <w:rFonts w:ascii="Times Roman" w:hAnsi="Times Roman"/>
                <w:b/>
                <w:i/>
                <w:sz w:val="20"/>
                <w:szCs w:val="20"/>
              </w:rPr>
              <w:t>Gender</w:t>
            </w:r>
          </w:p>
          <w:p w:rsidR="00A81B92" w:rsidRPr="00A07D1D" w:rsidRDefault="00A81B92" w:rsidP="00A81B92">
            <w:pPr>
              <w:jc w:val="center"/>
              <w:rPr>
                <w:rFonts w:ascii="Times Roman" w:hAnsi="Times Roman"/>
                <w:b/>
                <w:i/>
                <w:sz w:val="20"/>
                <w:szCs w:val="20"/>
              </w:rPr>
            </w:pP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c>
          <w:tcPr>
            <w:tcW w:w="1598" w:type="dxa"/>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1908" w:type="dxa"/>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Male</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3,660</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4,995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3,875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5,154</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4,130</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5,215</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Female</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1,350</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1,692</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1,398</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1,727</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1,437</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1,758</w:t>
            </w:r>
          </w:p>
        </w:tc>
      </w:tr>
      <w:tr w:rsidR="00A81B92" w:rsidTr="00A81B92">
        <w:tc>
          <w:tcPr>
            <w:tcW w:w="0" w:type="auto"/>
            <w:vAlign w:val="center"/>
          </w:tcPr>
          <w:p w:rsidR="00A81B92" w:rsidRPr="00A07D1D" w:rsidRDefault="00A81B92" w:rsidP="00A81B92">
            <w:pPr>
              <w:ind w:firstLine="79"/>
              <w:jc w:val="center"/>
              <w:rPr>
                <w:rFonts w:ascii="Times Roman" w:hAnsi="Times Roman"/>
                <w:b/>
                <w:sz w:val="20"/>
                <w:szCs w:val="20"/>
              </w:rPr>
            </w:pPr>
            <w:r w:rsidRPr="00A07D1D">
              <w:rPr>
                <w:rFonts w:ascii="Times Roman" w:hAnsi="Times Roman"/>
                <w:b/>
                <w:sz w:val="20"/>
                <w:szCs w:val="20"/>
              </w:rPr>
              <w:t>Total</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5,010</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6,687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5,273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6,881</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5,567</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6,973</w:t>
            </w:r>
          </w:p>
        </w:tc>
      </w:tr>
      <w:tr w:rsidR="00A81B92" w:rsidTr="00A81B92">
        <w:tc>
          <w:tcPr>
            <w:tcW w:w="0" w:type="auto"/>
            <w:shd w:val="clear" w:color="auto" w:fill="D9D9D9" w:themeFill="background1" w:themeFillShade="D9"/>
            <w:vAlign w:val="center"/>
          </w:tcPr>
          <w:p w:rsidR="00A81B92" w:rsidRDefault="00A81B92" w:rsidP="00A81B92">
            <w:pPr>
              <w:jc w:val="center"/>
              <w:rPr>
                <w:rFonts w:ascii="Times Roman" w:hAnsi="Times Roman"/>
                <w:b/>
                <w:i/>
                <w:sz w:val="20"/>
                <w:szCs w:val="20"/>
              </w:rPr>
            </w:pPr>
          </w:p>
          <w:p w:rsidR="00A81B92" w:rsidRDefault="00A81B92" w:rsidP="00A81B92">
            <w:pPr>
              <w:jc w:val="center"/>
              <w:rPr>
                <w:rFonts w:ascii="Times Roman" w:hAnsi="Times Roman"/>
                <w:b/>
                <w:i/>
                <w:sz w:val="20"/>
                <w:szCs w:val="20"/>
              </w:rPr>
            </w:pPr>
            <w:r>
              <w:rPr>
                <w:rFonts w:ascii="Times Roman" w:hAnsi="Times Roman"/>
                <w:b/>
                <w:i/>
                <w:sz w:val="20"/>
                <w:szCs w:val="20"/>
              </w:rPr>
              <w:t>Current Age as of Reporting Y</w:t>
            </w:r>
            <w:r w:rsidRPr="00A07D1D">
              <w:rPr>
                <w:rFonts w:ascii="Times Roman" w:hAnsi="Times Roman"/>
                <w:b/>
                <w:i/>
                <w:sz w:val="20"/>
                <w:szCs w:val="20"/>
              </w:rPr>
              <w:t>ear</w:t>
            </w:r>
          </w:p>
          <w:p w:rsidR="00A81B92" w:rsidRPr="00A07D1D" w:rsidRDefault="00A81B92" w:rsidP="00A81B92">
            <w:pPr>
              <w:jc w:val="center"/>
              <w:rPr>
                <w:rFonts w:ascii="Times Roman" w:hAnsi="Times Roman"/>
                <w:b/>
                <w:i/>
                <w:sz w:val="20"/>
                <w:szCs w:val="20"/>
                <w:highlight w:val="yellow"/>
              </w:rPr>
            </w:pP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c>
          <w:tcPr>
            <w:tcW w:w="1598" w:type="dxa"/>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1908" w:type="dxa"/>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&lt;13 years</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13</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13 - 24 years</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320</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147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319</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145</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355</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129</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25 - 44 years</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2,143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1,829</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2,253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1,793</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2,357</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1,731</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45 - 59 years</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2,013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3,721</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2,103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3,786</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2,170</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3,818</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60+ years</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517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986</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585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1,153</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672</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1,291</w:t>
            </w:r>
          </w:p>
        </w:tc>
      </w:tr>
      <w:tr w:rsidR="00A81B92" w:rsidTr="00A81B92">
        <w:tc>
          <w:tcPr>
            <w:tcW w:w="0" w:type="auto"/>
            <w:vAlign w:val="center"/>
          </w:tcPr>
          <w:p w:rsidR="00A81B92" w:rsidRPr="00A07D1D" w:rsidRDefault="00A81B92" w:rsidP="00A81B92">
            <w:pPr>
              <w:ind w:firstLine="79"/>
              <w:jc w:val="center"/>
              <w:rPr>
                <w:rFonts w:ascii="Times Roman" w:hAnsi="Times Roman"/>
                <w:b/>
                <w:sz w:val="20"/>
                <w:szCs w:val="20"/>
                <w:highlight w:val="yellow"/>
              </w:rPr>
            </w:pPr>
            <w:r w:rsidRPr="00A07D1D">
              <w:rPr>
                <w:rFonts w:ascii="Times Roman" w:hAnsi="Times Roman"/>
                <w:b/>
                <w:sz w:val="20"/>
                <w:szCs w:val="20"/>
              </w:rPr>
              <w:t>Total</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5,010</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6,687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5,273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6,881</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5,567</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6,973</w:t>
            </w:r>
          </w:p>
        </w:tc>
      </w:tr>
      <w:tr w:rsidR="00A81B92" w:rsidTr="00A81B92">
        <w:tc>
          <w:tcPr>
            <w:tcW w:w="0" w:type="auto"/>
            <w:shd w:val="clear" w:color="auto" w:fill="D9D9D9" w:themeFill="background1" w:themeFillShade="D9"/>
            <w:vAlign w:val="center"/>
          </w:tcPr>
          <w:p w:rsidR="00A81B92" w:rsidRDefault="00A81B92" w:rsidP="00A81B92">
            <w:pPr>
              <w:jc w:val="center"/>
              <w:rPr>
                <w:rFonts w:ascii="Times Roman" w:hAnsi="Times Roman"/>
                <w:b/>
                <w:i/>
                <w:sz w:val="20"/>
                <w:szCs w:val="20"/>
              </w:rPr>
            </w:pPr>
          </w:p>
          <w:p w:rsidR="00A81B92" w:rsidRDefault="00A81B92" w:rsidP="00A81B92">
            <w:pPr>
              <w:jc w:val="center"/>
              <w:rPr>
                <w:rFonts w:ascii="Times Roman" w:hAnsi="Times Roman"/>
                <w:b/>
                <w:i/>
                <w:sz w:val="20"/>
                <w:szCs w:val="20"/>
              </w:rPr>
            </w:pPr>
            <w:r w:rsidRPr="00675199">
              <w:rPr>
                <w:rFonts w:ascii="Times Roman" w:hAnsi="Times Roman"/>
                <w:b/>
                <w:i/>
                <w:sz w:val="20"/>
                <w:szCs w:val="20"/>
              </w:rPr>
              <w:t>Exposure</w:t>
            </w:r>
            <w:r w:rsidRPr="00A07D1D">
              <w:rPr>
                <w:rFonts w:ascii="Times Roman" w:hAnsi="Times Roman"/>
                <w:b/>
                <w:i/>
                <w:sz w:val="20"/>
                <w:szCs w:val="20"/>
                <w:lang w:val="fr-FR"/>
              </w:rPr>
              <w:t xml:space="preserve"> </w:t>
            </w:r>
            <w:r w:rsidRPr="00675199">
              <w:rPr>
                <w:rFonts w:ascii="Times Roman" w:hAnsi="Times Roman"/>
                <w:b/>
                <w:i/>
                <w:sz w:val="20"/>
                <w:szCs w:val="20"/>
              </w:rPr>
              <w:t>Category</w:t>
            </w:r>
          </w:p>
          <w:p w:rsidR="00A81B92" w:rsidRPr="00A07D1D" w:rsidRDefault="00A81B92" w:rsidP="00A81B92">
            <w:pPr>
              <w:jc w:val="center"/>
              <w:rPr>
                <w:rFonts w:ascii="Times Roman" w:hAnsi="Times Roman"/>
                <w:b/>
                <w:i/>
                <w:sz w:val="20"/>
                <w:szCs w:val="20"/>
              </w:rPr>
            </w:pP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c>
          <w:tcPr>
            <w:tcW w:w="1598" w:type="dxa"/>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1908" w:type="dxa"/>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r>
      <w:tr w:rsidR="00A81B92" w:rsidTr="00A81B92">
        <w:tc>
          <w:tcPr>
            <w:tcW w:w="0" w:type="auto"/>
            <w:vAlign w:val="center"/>
          </w:tcPr>
          <w:p w:rsidR="00A81B92" w:rsidRPr="00A07D1D" w:rsidRDefault="00A81B92" w:rsidP="00A81B92">
            <w:pPr>
              <w:jc w:val="center"/>
              <w:rPr>
                <w:rFonts w:ascii="Times Roman" w:hAnsi="Times Roman"/>
                <w:sz w:val="20"/>
                <w:szCs w:val="20"/>
              </w:rPr>
            </w:pPr>
            <w:r w:rsidRPr="00A07D1D">
              <w:rPr>
                <w:rFonts w:ascii="Times Roman" w:hAnsi="Times Roman"/>
                <w:sz w:val="20"/>
                <w:szCs w:val="20"/>
              </w:rPr>
              <w:t>Men who have sex with men</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2,865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3,436</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3,072</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3,571</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3,305</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3,630</w:t>
            </w:r>
          </w:p>
        </w:tc>
      </w:tr>
      <w:tr w:rsidR="00A81B92" w:rsidTr="00A81B92">
        <w:tc>
          <w:tcPr>
            <w:tcW w:w="0" w:type="auto"/>
            <w:vAlign w:val="center"/>
          </w:tcPr>
          <w:p w:rsidR="00A81B92" w:rsidRPr="00A07D1D" w:rsidRDefault="00A81B92" w:rsidP="00A81B92">
            <w:pPr>
              <w:jc w:val="center"/>
              <w:rPr>
                <w:rFonts w:ascii="Times Roman" w:hAnsi="Times Roman"/>
                <w:sz w:val="20"/>
                <w:szCs w:val="20"/>
              </w:rPr>
            </w:pPr>
            <w:r w:rsidRPr="00A07D1D">
              <w:rPr>
                <w:rFonts w:ascii="Times Roman" w:hAnsi="Times Roman"/>
                <w:sz w:val="20"/>
                <w:szCs w:val="20"/>
              </w:rPr>
              <w:t>Injection drug users</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387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778</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388</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762</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406</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759</w:t>
            </w:r>
          </w:p>
        </w:tc>
      </w:tr>
      <w:tr w:rsidR="00A81B92" w:rsidTr="00A81B92">
        <w:tc>
          <w:tcPr>
            <w:tcW w:w="0" w:type="auto"/>
            <w:vAlign w:val="center"/>
          </w:tcPr>
          <w:p w:rsidR="00A81B92" w:rsidRPr="00A07D1D" w:rsidRDefault="00A81B92" w:rsidP="00A81B92">
            <w:pPr>
              <w:jc w:val="center"/>
              <w:rPr>
                <w:rFonts w:ascii="Times Roman" w:hAnsi="Times Roman"/>
                <w:sz w:val="20"/>
                <w:szCs w:val="20"/>
              </w:rPr>
            </w:pPr>
            <w:r w:rsidRPr="00A07D1D">
              <w:rPr>
                <w:rFonts w:ascii="Times Roman" w:hAnsi="Times Roman"/>
                <w:sz w:val="20"/>
                <w:szCs w:val="20"/>
              </w:rPr>
              <w:t>Men who have sex with men and inject drugs</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217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414</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220</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411</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209</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407</w:t>
            </w:r>
          </w:p>
        </w:tc>
      </w:tr>
      <w:tr w:rsidR="00A81B92" w:rsidTr="00A81B92">
        <w:tc>
          <w:tcPr>
            <w:tcW w:w="0" w:type="auto"/>
            <w:vAlign w:val="center"/>
          </w:tcPr>
          <w:p w:rsidR="00A81B92" w:rsidRPr="00A07D1D" w:rsidRDefault="00A81B92" w:rsidP="00A81B92">
            <w:pPr>
              <w:jc w:val="center"/>
              <w:rPr>
                <w:rFonts w:ascii="Times Roman" w:hAnsi="Times Roman"/>
                <w:sz w:val="20"/>
                <w:szCs w:val="20"/>
              </w:rPr>
            </w:pPr>
            <w:r w:rsidRPr="00A07D1D">
              <w:rPr>
                <w:rFonts w:ascii="Times Roman" w:hAnsi="Times Roman"/>
                <w:sz w:val="20"/>
                <w:szCs w:val="20"/>
              </w:rPr>
              <w:t>Heterosexuals</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1,476</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1,935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1,529</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2,006</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1,581</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2,042</w:t>
            </w:r>
          </w:p>
        </w:tc>
      </w:tr>
      <w:tr w:rsidR="00A81B92" w:rsidTr="00A81B92">
        <w:tc>
          <w:tcPr>
            <w:tcW w:w="0" w:type="auto"/>
            <w:vAlign w:val="center"/>
          </w:tcPr>
          <w:p w:rsidR="00A81B92" w:rsidRPr="00A07D1D" w:rsidRDefault="00A81B92" w:rsidP="00A81B92">
            <w:pPr>
              <w:jc w:val="center"/>
              <w:rPr>
                <w:rFonts w:ascii="Times Roman" w:hAnsi="Times Roman"/>
                <w:sz w:val="20"/>
                <w:szCs w:val="20"/>
              </w:rPr>
            </w:pPr>
            <w:r w:rsidRPr="00A07D1D">
              <w:rPr>
                <w:rFonts w:ascii="Times Roman" w:hAnsi="Times Roman"/>
                <w:sz w:val="20"/>
                <w:szCs w:val="20"/>
              </w:rPr>
              <w:t>Other/Unknown</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124</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64</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131</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67</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138</w:t>
            </w:r>
          </w:p>
        </w:tc>
      </w:tr>
      <w:tr w:rsidR="00A81B92" w:rsidTr="00A81B92">
        <w:tc>
          <w:tcPr>
            <w:tcW w:w="0" w:type="auto"/>
            <w:vAlign w:val="center"/>
          </w:tcPr>
          <w:p w:rsidR="00A81B92" w:rsidRPr="00A07D1D" w:rsidRDefault="00A81B92" w:rsidP="00A81B92">
            <w:pPr>
              <w:ind w:firstLine="79"/>
              <w:jc w:val="center"/>
              <w:rPr>
                <w:rFonts w:ascii="Times Roman" w:hAnsi="Times Roman"/>
                <w:b/>
                <w:sz w:val="20"/>
                <w:szCs w:val="20"/>
              </w:rPr>
            </w:pPr>
            <w:r w:rsidRPr="00A07D1D">
              <w:rPr>
                <w:rFonts w:ascii="Times Roman" w:hAnsi="Times Roman"/>
                <w:b/>
                <w:sz w:val="20"/>
                <w:szCs w:val="20"/>
              </w:rPr>
              <w:t>Total</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5,010</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6,687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5,273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6,881</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5,568*</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6,976*</w:t>
            </w:r>
          </w:p>
        </w:tc>
      </w:tr>
    </w:tbl>
    <w:p w:rsidR="00A81B92" w:rsidRDefault="00A81B92" w:rsidP="00A81B92">
      <w:pPr>
        <w:jc w:val="center"/>
        <w:rPr>
          <w:rFonts w:ascii="Times Roman" w:hAnsi="Times Roman"/>
          <w:b/>
          <w:smallCaps/>
          <w:sz w:val="24"/>
          <w:szCs w:val="20"/>
        </w:rPr>
      </w:pPr>
      <w:r w:rsidRPr="005C6A6A">
        <w:rPr>
          <w:rFonts w:ascii="Times Roman" w:hAnsi="Times Roman"/>
          <w:noProof/>
          <w:sz w:val="24"/>
          <w:szCs w:val="20"/>
        </w:rPr>
        <mc:AlternateContent>
          <mc:Choice Requires="wps">
            <w:drawing>
              <wp:anchor distT="0" distB="0" distL="114300" distR="114300" simplePos="0" relativeHeight="251661312" behindDoc="0" locked="0" layoutInCell="1" allowOverlap="1" wp14:anchorId="7A7C792E" wp14:editId="1441E60E">
                <wp:simplePos x="0" y="0"/>
                <wp:positionH relativeFrom="column">
                  <wp:posOffset>23854</wp:posOffset>
                </wp:positionH>
                <wp:positionV relativeFrom="paragraph">
                  <wp:posOffset>-500932</wp:posOffset>
                </wp:positionV>
                <wp:extent cx="1045845" cy="310101"/>
                <wp:effectExtent l="0" t="0" r="20955" b="139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310101"/>
                        </a:xfrm>
                        <a:prstGeom prst="rect">
                          <a:avLst/>
                        </a:prstGeom>
                        <a:solidFill>
                          <a:srgbClr val="FFFFFF"/>
                        </a:solidFill>
                        <a:ln w="9525">
                          <a:solidFill>
                            <a:srgbClr val="000000"/>
                          </a:solidFill>
                          <a:miter lim="800000"/>
                          <a:headEnd/>
                          <a:tailEnd/>
                        </a:ln>
                      </wps:spPr>
                      <wps:txbx>
                        <w:txbxContent>
                          <w:p w:rsidR="00A81B92" w:rsidRPr="00AC544F" w:rsidRDefault="00A81B92" w:rsidP="00A81B92">
                            <w:pPr>
                              <w:jc w:val="center"/>
                              <w:rPr>
                                <w:rFonts w:ascii="Arial" w:hAnsi="Arial" w:cs="Arial"/>
                                <w:sz w:val="20"/>
                                <w:szCs w:val="20"/>
                              </w:rPr>
                            </w:pPr>
                            <w:r w:rsidRPr="00AC544F">
                              <w:rPr>
                                <w:rFonts w:ascii="Arial" w:hAnsi="Arial" w:cs="Arial"/>
                                <w:smallCaps/>
                                <w:sz w:val="20"/>
                                <w:szCs w:val="20"/>
                              </w:rPr>
                              <w:t>Attachment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1.9pt;margin-top:-39.45pt;width:82.3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">
                <v:textbox>
                  <w:txbxContent>
                    <w:p w:rsidR="00A81B92" w:rsidRPr="00AC544F" w:rsidRDefault="00A81B92" w:rsidP="00A81B92">
                      <w:pPr>
                        <w:jc w:val="center"/>
                        <w:rPr>
                          <w:rFonts w:ascii="Arial" w:hAnsi="Arial" w:cs="Arial"/>
                          <w:sz w:val="20"/>
                          <w:szCs w:val="20"/>
                        </w:rPr>
                      </w:pPr>
                      <w:r w:rsidRPr="00AC544F">
                        <w:rPr>
                          <w:rFonts w:ascii="Arial" w:hAnsi="Arial" w:cs="Arial"/>
                          <w:smallCaps/>
                          <w:sz w:val="20"/>
                          <w:szCs w:val="20"/>
                        </w:rPr>
                        <w:t>Attachment 1</w:t>
                      </w:r>
                    </w:p>
                  </w:txbxContent>
                </v:textbox>
              </v:shape>
            </w:pict>
          </mc:Fallback>
        </mc:AlternateContent>
      </w:r>
      <w:r w:rsidRPr="005C6A6A">
        <w:rPr>
          <w:rFonts w:ascii="Times Roman" w:hAnsi="Times Roman"/>
          <w:b/>
          <w:smallCaps/>
          <w:sz w:val="24"/>
          <w:szCs w:val="20"/>
        </w:rPr>
        <w:t>AIDS Prevalence and HIV (non AIDS) Prevalenc</w:t>
      </w:r>
      <w:r>
        <w:rPr>
          <w:rFonts w:ascii="Times Roman" w:hAnsi="Times Roman"/>
          <w:b/>
          <w:smallCaps/>
          <w:sz w:val="24"/>
          <w:szCs w:val="20"/>
        </w:rPr>
        <w:t xml:space="preserve">e Data by Demographic Group and </w:t>
      </w:r>
      <w:r w:rsidRPr="005C6A6A">
        <w:rPr>
          <w:rFonts w:ascii="Times Roman" w:hAnsi="Times Roman"/>
          <w:b/>
          <w:smallCaps/>
          <w:sz w:val="24"/>
          <w:szCs w:val="20"/>
        </w:rPr>
        <w:t>Exposure Category</w:t>
      </w:r>
    </w:p>
    <w:p w:rsidR="00A81B92" w:rsidRDefault="00A81B92" w:rsidP="00A81B92">
      <w:pPr>
        <w:jc w:val="center"/>
        <w:rPr>
          <w:rFonts w:ascii="Times Roman" w:hAnsi="Times Roman"/>
          <w:b/>
          <w:smallCaps/>
          <w:sz w:val="24"/>
          <w:szCs w:val="20"/>
        </w:rPr>
      </w:pPr>
    </w:p>
    <w:p w:rsidR="00A81B92" w:rsidRDefault="00A81B92" w:rsidP="00A81B92">
      <w:pPr>
        <w:spacing w:after="0" w:line="240" w:lineRule="auto"/>
        <w:rPr>
          <w:rFonts w:ascii="Times Roman" w:eastAsia="Calibri" w:hAnsi="Times Roman"/>
          <w:sz w:val="20"/>
          <w:szCs w:val="20"/>
        </w:rPr>
      </w:pPr>
      <w:r w:rsidRPr="006509C2">
        <w:rPr>
          <w:rFonts w:ascii="Times Roman" w:eastAsia="Calibri" w:hAnsi="Times Roman"/>
          <w:sz w:val="20"/>
          <w:szCs w:val="20"/>
        </w:rPr>
        <w:t xml:space="preserve">Source: Florida Department of Health EMA Epidemiological Profiles </w:t>
      </w:r>
      <w:r>
        <w:rPr>
          <w:rFonts w:ascii="Times Roman" w:eastAsia="Calibri" w:hAnsi="Times Roman"/>
          <w:sz w:val="20"/>
          <w:szCs w:val="20"/>
        </w:rPr>
        <w:t>CY 2013; CY 2014</w:t>
      </w:r>
      <w:r w:rsidRPr="006509C2">
        <w:rPr>
          <w:rFonts w:ascii="Times Roman" w:eastAsia="Calibri" w:hAnsi="Times Roman"/>
          <w:sz w:val="20"/>
          <w:szCs w:val="20"/>
        </w:rPr>
        <w:t xml:space="preserve">; </w:t>
      </w:r>
      <w:r>
        <w:rPr>
          <w:rFonts w:ascii="Times Roman" w:eastAsia="Calibri" w:hAnsi="Times Roman"/>
          <w:sz w:val="20"/>
          <w:szCs w:val="20"/>
        </w:rPr>
        <w:t>CY 20</w:t>
      </w:r>
      <w:r w:rsidRPr="006509C2">
        <w:rPr>
          <w:rFonts w:ascii="Times Roman" w:eastAsia="Calibri" w:hAnsi="Times Roman"/>
          <w:sz w:val="20"/>
          <w:szCs w:val="20"/>
        </w:rPr>
        <w:t>1</w:t>
      </w:r>
      <w:r>
        <w:rPr>
          <w:rFonts w:ascii="Times Roman" w:eastAsia="Calibri" w:hAnsi="Times Roman"/>
          <w:sz w:val="20"/>
          <w:szCs w:val="20"/>
        </w:rPr>
        <w:t>5</w:t>
      </w:r>
    </w:p>
    <w:p w:rsidR="00A81B92" w:rsidRPr="00A81B92" w:rsidRDefault="00A81B92" w:rsidP="00A81B92">
      <w:pPr>
        <w:jc w:val="center"/>
        <w:rPr>
          <w:rFonts w:ascii="Times Roman" w:hAnsi="Times Roman"/>
          <w:b/>
          <w:smallCaps/>
          <w:sz w:val="24"/>
          <w:szCs w:val="20"/>
        </w:rPr>
      </w:pPr>
    </w:p>
    <w:p w:rsidR="00A81B92" w:rsidRPr="00675199" w:rsidRDefault="00A81B92" w:rsidP="00A81B92">
      <w:pPr>
        <w:spacing w:after="0" w:line="240" w:lineRule="auto"/>
        <w:rPr>
          <w:rFonts w:ascii="Times Roman" w:eastAsia="Calibri" w:hAnsi="Times Roman"/>
          <w:sz w:val="20"/>
          <w:szCs w:val="20"/>
        </w:rPr>
      </w:pPr>
      <w:r>
        <w:rPr>
          <w:rFonts w:ascii="Times Roman" w:eastAsia="Calibri" w:hAnsi="Times Roman"/>
          <w:sz w:val="20"/>
          <w:szCs w:val="20"/>
        </w:rPr>
        <w:t>*Risk data are calculated values from a weighted database to redistribute the NIRs into known risks. Therefore, some risk data was off by one or two cases from the total due to rounding issues, according to the Florida Department of Health.</w:t>
      </w: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Pr="00AC544F" w:rsidRDefault="00A81B92" w:rsidP="00A81B92">
      <w:pPr>
        <w:spacing w:after="0" w:line="240" w:lineRule="auto"/>
        <w:jc w:val="center"/>
        <w:rPr>
          <w:rFonts w:ascii="Arial" w:eastAsia="Times New Roman" w:hAnsi="Arial" w:cs="Arial"/>
          <w:b/>
          <w:sz w:val="20"/>
          <w:szCs w:val="20"/>
        </w:rPr>
      </w:pPr>
      <w:r w:rsidRPr="00AC544F">
        <w:rPr>
          <w:rFonts w:ascii="Arial" w:eastAsia="Times New Roman" w:hAnsi="Arial" w:cs="Arial"/>
          <w:b/>
          <w:noProof/>
          <w:sz w:val="20"/>
          <w:szCs w:val="20"/>
        </w:rPr>
        <mc:AlternateContent>
          <mc:Choice Requires="wps">
            <w:drawing>
              <wp:anchor distT="0" distB="0" distL="114300" distR="114300" simplePos="0" relativeHeight="251663360" behindDoc="0" locked="0" layoutInCell="1" allowOverlap="1" wp14:anchorId="483C0843" wp14:editId="4215C0A4">
                <wp:simplePos x="0" y="0"/>
                <wp:positionH relativeFrom="column">
                  <wp:posOffset>-619125</wp:posOffset>
                </wp:positionH>
                <wp:positionV relativeFrom="paragraph">
                  <wp:posOffset>-533400</wp:posOffset>
                </wp:positionV>
                <wp:extent cx="1152525" cy="271780"/>
                <wp:effectExtent l="0" t="0" r="28575" b="2476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71780"/>
                        </a:xfrm>
                        <a:prstGeom prst="rect">
                          <a:avLst/>
                        </a:prstGeom>
                        <a:solidFill>
                          <a:srgbClr val="FFFFFF"/>
                        </a:solidFill>
                        <a:ln w="9525">
                          <a:solidFill>
                            <a:srgbClr val="000000"/>
                          </a:solidFill>
                          <a:miter lim="800000"/>
                          <a:headEnd/>
                          <a:tailEnd/>
                        </a:ln>
                      </wps:spPr>
                      <wps:txbx>
                        <w:txbxContent>
                          <w:p w:rsidR="00A81B92" w:rsidRPr="00A75259" w:rsidRDefault="00A81B92" w:rsidP="00A81B92">
                            <w:r>
                              <w:rPr>
                                <w:smallCaps/>
                              </w:rPr>
                              <w:t>Attachment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o:spid="_x0000_s1028" type="#_x0000_t202" style="position:absolute;left:0;text-align:left;margin-left:-48.75pt;margin-top:-42pt;width:90.75pt;height:21.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">
                <v:textbox style="mso-fit-shape-to-text:t">
                  <w:txbxContent>
                    <w:p w:rsidR="00A81B92" w:rsidRPr="00A75259" w:rsidRDefault="00A81B92" w:rsidP="00A81B92">
                      <w:r>
                        <w:rPr>
                          <w:smallCaps/>
                        </w:rPr>
                        <w:t>Attachment 2</w:t>
                      </w:r>
                    </w:p>
                  </w:txbxContent>
                </v:textbox>
              </v:shape>
            </w:pict>
          </mc:Fallback>
        </mc:AlternateContent>
      </w:r>
      <w:r w:rsidRPr="00AC544F">
        <w:rPr>
          <w:rFonts w:ascii="Arial" w:eastAsia="Times New Roman" w:hAnsi="Arial" w:cs="Arial"/>
          <w:b/>
          <w:sz w:val="20"/>
          <w:szCs w:val="20"/>
        </w:rPr>
        <w:t>PLWHA Co-Morbidities</w:t>
      </w:r>
    </w:p>
    <w:p w:rsidR="00A81B92" w:rsidRPr="00AC544F" w:rsidRDefault="00A81B92" w:rsidP="00A81B92">
      <w:pPr>
        <w:spacing w:after="0" w:line="240" w:lineRule="auto"/>
        <w:jc w:val="center"/>
        <w:rPr>
          <w:rFonts w:ascii="Arial" w:eastAsia="Times New Roman" w:hAnsi="Arial" w:cs="Arial"/>
          <w:b/>
          <w:smallCaps/>
          <w:sz w:val="20"/>
          <w:szCs w:val="20"/>
        </w:rPr>
      </w:pPr>
      <w:r w:rsidRPr="00AC544F">
        <w:rPr>
          <w:rFonts w:ascii="Arial" w:eastAsia="Times New Roman" w:hAnsi="Arial" w:cs="Arial"/>
          <w:b/>
          <w:smallCaps/>
          <w:sz w:val="20"/>
          <w:szCs w:val="20"/>
        </w:rPr>
        <w:t>Tampa-St. Petersburg EMA</w:t>
      </w:r>
    </w:p>
    <w:p w:rsidR="00A81B92" w:rsidRPr="00AC544F" w:rsidRDefault="00A81B92" w:rsidP="00A81B92">
      <w:pPr>
        <w:spacing w:after="0" w:line="240" w:lineRule="auto"/>
        <w:jc w:val="center"/>
        <w:rPr>
          <w:rFonts w:ascii="Arial" w:eastAsia="Times New Roman" w:hAnsi="Arial" w:cs="Arial"/>
          <w:b/>
          <w:smallCap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6"/>
        <w:gridCol w:w="2787"/>
        <w:gridCol w:w="3338"/>
      </w:tblGrid>
      <w:tr w:rsidR="00A81B92" w:rsidRPr="00AC544F" w:rsidTr="00AC544F">
        <w:trPr>
          <w:trHeight w:val="557"/>
          <w:jc w:val="center"/>
        </w:trPr>
        <w:tc>
          <w:tcPr>
            <w:tcW w:w="3066" w:type="dxa"/>
            <w:shd w:val="clear" w:color="auto" w:fill="auto"/>
          </w:tcPr>
          <w:p w:rsidR="00A81B92" w:rsidRPr="00AC544F" w:rsidRDefault="00A81B92" w:rsidP="00AC544F">
            <w:pPr>
              <w:spacing w:after="0" w:line="240" w:lineRule="auto"/>
              <w:jc w:val="center"/>
              <w:rPr>
                <w:rFonts w:ascii="Arial" w:eastAsia="Times New Roman" w:hAnsi="Arial" w:cs="Arial"/>
                <w:b/>
                <w:sz w:val="20"/>
                <w:szCs w:val="20"/>
              </w:rPr>
            </w:pPr>
          </w:p>
          <w:p w:rsidR="00A81B92" w:rsidRPr="00AC544F" w:rsidRDefault="00A81B92" w:rsidP="00AC544F">
            <w:pPr>
              <w:spacing w:after="0" w:line="240" w:lineRule="auto"/>
              <w:jc w:val="center"/>
              <w:rPr>
                <w:rFonts w:ascii="Arial" w:eastAsia="Times New Roman" w:hAnsi="Arial" w:cs="Arial"/>
                <w:b/>
                <w:sz w:val="20"/>
                <w:szCs w:val="20"/>
              </w:rPr>
            </w:pPr>
            <w:r w:rsidRPr="00AC544F">
              <w:rPr>
                <w:rFonts w:ascii="Arial" w:eastAsia="Times New Roman" w:hAnsi="Arial" w:cs="Arial"/>
                <w:b/>
                <w:sz w:val="20"/>
                <w:szCs w:val="20"/>
              </w:rPr>
              <w:t>Co-morbidity</w:t>
            </w:r>
          </w:p>
        </w:tc>
        <w:tc>
          <w:tcPr>
            <w:tcW w:w="2787" w:type="dxa"/>
            <w:shd w:val="clear" w:color="auto" w:fill="auto"/>
          </w:tcPr>
          <w:p w:rsidR="00A81B92" w:rsidRPr="00AC544F" w:rsidRDefault="00A81B92" w:rsidP="00AC544F">
            <w:pPr>
              <w:spacing w:after="0" w:line="240" w:lineRule="auto"/>
              <w:jc w:val="center"/>
              <w:rPr>
                <w:rFonts w:ascii="Arial" w:eastAsia="Times New Roman" w:hAnsi="Arial" w:cs="Arial"/>
                <w:b/>
                <w:sz w:val="20"/>
                <w:szCs w:val="20"/>
              </w:rPr>
            </w:pPr>
            <w:r w:rsidRPr="00AC544F">
              <w:rPr>
                <w:rFonts w:ascii="Arial" w:eastAsia="Times New Roman" w:hAnsi="Arial" w:cs="Arial"/>
                <w:b/>
                <w:sz w:val="20"/>
                <w:szCs w:val="20"/>
              </w:rPr>
              <w:t>Co-Morbidity in PLWHA Population within EMA</w:t>
            </w:r>
          </w:p>
        </w:tc>
        <w:tc>
          <w:tcPr>
            <w:tcW w:w="3338" w:type="dxa"/>
            <w:shd w:val="clear" w:color="auto" w:fill="auto"/>
          </w:tcPr>
          <w:p w:rsidR="00A81B92" w:rsidRPr="00AC544F" w:rsidRDefault="00A81B92" w:rsidP="00AC544F">
            <w:pPr>
              <w:spacing w:after="0" w:line="240" w:lineRule="auto"/>
              <w:jc w:val="center"/>
              <w:rPr>
                <w:rFonts w:ascii="Arial" w:eastAsia="Times New Roman" w:hAnsi="Arial" w:cs="Arial"/>
                <w:b/>
                <w:sz w:val="20"/>
                <w:szCs w:val="20"/>
              </w:rPr>
            </w:pPr>
            <w:r w:rsidRPr="00AC544F">
              <w:rPr>
                <w:rFonts w:ascii="Arial" w:eastAsia="Times New Roman" w:hAnsi="Arial" w:cs="Arial"/>
                <w:b/>
                <w:sz w:val="20"/>
                <w:szCs w:val="20"/>
              </w:rPr>
              <w:t>Data Source</w:t>
            </w:r>
          </w:p>
        </w:tc>
      </w:tr>
      <w:tr w:rsidR="00A81B92" w:rsidRPr="00AC544F" w:rsidTr="00AC544F">
        <w:trPr>
          <w:trHeight w:val="1088"/>
          <w:jc w:val="center"/>
        </w:trPr>
        <w:tc>
          <w:tcPr>
            <w:tcW w:w="3066" w:type="dxa"/>
            <w:shd w:val="clear" w:color="auto" w:fill="auto"/>
          </w:tcPr>
          <w:p w:rsidR="00A81B92" w:rsidRPr="00AC544F" w:rsidRDefault="00A81B92" w:rsidP="00A81B92">
            <w:pPr>
              <w:spacing w:after="0" w:line="240" w:lineRule="auto"/>
              <w:rPr>
                <w:rFonts w:ascii="Arial" w:eastAsia="Times New Roman" w:hAnsi="Arial" w:cs="Arial"/>
                <w:sz w:val="20"/>
                <w:szCs w:val="20"/>
              </w:rPr>
            </w:pPr>
            <w:r w:rsidRPr="00AC544F">
              <w:rPr>
                <w:rFonts w:ascii="Arial" w:eastAsia="Times New Roman" w:hAnsi="Arial" w:cs="Arial"/>
                <w:b/>
                <w:sz w:val="20"/>
                <w:szCs w:val="20"/>
              </w:rPr>
              <w:t xml:space="preserve">Infectious Syphilis </w:t>
            </w:r>
            <w:r w:rsidRPr="00AC544F">
              <w:rPr>
                <w:rFonts w:ascii="Arial" w:eastAsia="Times New Roman" w:hAnsi="Arial" w:cs="Arial"/>
                <w:sz w:val="20"/>
                <w:szCs w:val="20"/>
              </w:rPr>
              <w:t xml:space="preserve">(diagnosed among HIV/AIDS patients) </w:t>
            </w:r>
            <w:r w:rsidRPr="00AC544F">
              <w:rPr>
                <w:rFonts w:ascii="Arial" w:eastAsia="Times New Roman" w:hAnsi="Arial" w:cs="Arial"/>
                <w:b/>
                <w:sz w:val="20"/>
                <w:szCs w:val="20"/>
              </w:rPr>
              <w:t xml:space="preserve"> </w:t>
            </w:r>
          </w:p>
        </w:tc>
        <w:tc>
          <w:tcPr>
            <w:tcW w:w="2787"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1,076.6*</w:t>
            </w:r>
          </w:p>
        </w:tc>
        <w:tc>
          <w:tcPr>
            <w:tcW w:w="3338"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PRISM (Patient Reporting, Investigation and Surveillance Manager)</w:t>
            </w:r>
          </w:p>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 xml:space="preserve">Data through 2015 </w:t>
            </w:r>
          </w:p>
        </w:tc>
      </w:tr>
      <w:tr w:rsidR="00A81B92" w:rsidRPr="00AC544F" w:rsidTr="00AC544F">
        <w:trPr>
          <w:trHeight w:val="1052"/>
          <w:jc w:val="center"/>
        </w:trPr>
        <w:tc>
          <w:tcPr>
            <w:tcW w:w="3066" w:type="dxa"/>
            <w:shd w:val="clear" w:color="auto" w:fill="auto"/>
          </w:tcPr>
          <w:p w:rsidR="00A81B92" w:rsidRPr="00AC544F" w:rsidRDefault="00A81B92" w:rsidP="00A81B92">
            <w:pPr>
              <w:spacing w:after="0" w:line="240" w:lineRule="auto"/>
              <w:rPr>
                <w:rFonts w:ascii="Arial" w:eastAsia="Times New Roman" w:hAnsi="Arial" w:cs="Arial"/>
                <w:b/>
                <w:sz w:val="20"/>
                <w:szCs w:val="20"/>
              </w:rPr>
            </w:pPr>
            <w:r w:rsidRPr="00AC544F">
              <w:rPr>
                <w:rFonts w:ascii="Arial" w:eastAsia="Times New Roman" w:hAnsi="Arial" w:cs="Arial"/>
                <w:b/>
                <w:sz w:val="20"/>
                <w:szCs w:val="20"/>
              </w:rPr>
              <w:t xml:space="preserve">Gonorrhea </w:t>
            </w:r>
            <w:r w:rsidRPr="00AC544F">
              <w:rPr>
                <w:rFonts w:ascii="Arial" w:eastAsia="Times New Roman" w:hAnsi="Arial" w:cs="Arial"/>
                <w:sz w:val="20"/>
                <w:szCs w:val="20"/>
              </w:rPr>
              <w:t>(diagnosed among HIV/AIDS patients)</w:t>
            </w:r>
          </w:p>
        </w:tc>
        <w:tc>
          <w:tcPr>
            <w:tcW w:w="2787"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1,315.8*</w:t>
            </w:r>
          </w:p>
        </w:tc>
        <w:tc>
          <w:tcPr>
            <w:tcW w:w="3338" w:type="dxa"/>
            <w:shd w:val="clear" w:color="auto" w:fill="auto"/>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PRISM (Patient Reporting, Investigation and Surveillance Manager)</w:t>
            </w:r>
          </w:p>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Data through 2015</w:t>
            </w:r>
          </w:p>
        </w:tc>
      </w:tr>
      <w:tr w:rsidR="00A81B92" w:rsidRPr="00AC544F" w:rsidTr="00AC544F">
        <w:trPr>
          <w:trHeight w:val="1025"/>
          <w:jc w:val="center"/>
        </w:trPr>
        <w:tc>
          <w:tcPr>
            <w:tcW w:w="3066" w:type="dxa"/>
            <w:shd w:val="clear" w:color="auto" w:fill="auto"/>
          </w:tcPr>
          <w:p w:rsidR="00A81B92" w:rsidRPr="00AC544F" w:rsidRDefault="00A81B92" w:rsidP="00A81B92">
            <w:pPr>
              <w:spacing w:after="0" w:line="240" w:lineRule="auto"/>
              <w:rPr>
                <w:rFonts w:ascii="Arial" w:eastAsia="Times New Roman" w:hAnsi="Arial" w:cs="Arial"/>
                <w:b/>
                <w:sz w:val="20"/>
                <w:szCs w:val="20"/>
              </w:rPr>
            </w:pPr>
            <w:r w:rsidRPr="00AC544F">
              <w:rPr>
                <w:rFonts w:ascii="Arial" w:eastAsia="Times New Roman" w:hAnsi="Arial" w:cs="Arial"/>
                <w:b/>
                <w:sz w:val="20"/>
                <w:szCs w:val="20"/>
              </w:rPr>
              <w:t xml:space="preserve">Chlamydia </w:t>
            </w:r>
            <w:r w:rsidRPr="00AC544F">
              <w:rPr>
                <w:rFonts w:ascii="Arial" w:eastAsia="Times New Roman" w:hAnsi="Arial" w:cs="Arial"/>
                <w:sz w:val="20"/>
                <w:szCs w:val="20"/>
              </w:rPr>
              <w:t>(diagnosed among HIV/AIDS patients)</w:t>
            </w:r>
          </w:p>
        </w:tc>
        <w:tc>
          <w:tcPr>
            <w:tcW w:w="2787"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1,188.2*</w:t>
            </w:r>
          </w:p>
        </w:tc>
        <w:tc>
          <w:tcPr>
            <w:tcW w:w="3338" w:type="dxa"/>
            <w:shd w:val="clear" w:color="auto" w:fill="auto"/>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PRISM (Patient Reporting, Investigation and Surveillance Manager)</w:t>
            </w:r>
          </w:p>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Data through 2015</w:t>
            </w:r>
          </w:p>
        </w:tc>
      </w:tr>
      <w:tr w:rsidR="00A81B92" w:rsidRPr="00AC544F" w:rsidTr="00AC544F">
        <w:trPr>
          <w:trHeight w:val="1358"/>
          <w:jc w:val="center"/>
        </w:trPr>
        <w:tc>
          <w:tcPr>
            <w:tcW w:w="3066" w:type="dxa"/>
            <w:shd w:val="clear" w:color="auto" w:fill="auto"/>
          </w:tcPr>
          <w:p w:rsidR="00A81B92" w:rsidRPr="00AC544F" w:rsidRDefault="00A81B92" w:rsidP="00A81B92">
            <w:pPr>
              <w:spacing w:after="0" w:line="240" w:lineRule="auto"/>
              <w:rPr>
                <w:rFonts w:ascii="Arial" w:eastAsia="Times New Roman" w:hAnsi="Arial" w:cs="Arial"/>
                <w:b/>
                <w:sz w:val="20"/>
                <w:szCs w:val="20"/>
              </w:rPr>
            </w:pPr>
            <w:r w:rsidRPr="00AC544F">
              <w:rPr>
                <w:rFonts w:ascii="Arial" w:eastAsia="Times New Roman" w:hAnsi="Arial" w:cs="Arial"/>
                <w:b/>
                <w:sz w:val="20"/>
                <w:szCs w:val="20"/>
              </w:rPr>
              <w:t xml:space="preserve">Hepatitis C </w:t>
            </w:r>
            <w:r w:rsidRPr="00AC544F">
              <w:rPr>
                <w:rFonts w:ascii="Arial" w:eastAsia="Times New Roman" w:hAnsi="Arial" w:cs="Arial"/>
                <w:sz w:val="20"/>
                <w:szCs w:val="20"/>
              </w:rPr>
              <w:t>(any HIV/AIDS case noted with a history of acute and/or chronic viral Hepatitis C and documented in eHARS and/or MERLIN)</w:t>
            </w:r>
          </w:p>
        </w:tc>
        <w:tc>
          <w:tcPr>
            <w:tcW w:w="2787"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10,821.4*</w:t>
            </w:r>
          </w:p>
        </w:tc>
        <w:tc>
          <w:tcPr>
            <w:tcW w:w="3338" w:type="dxa"/>
            <w:shd w:val="clear" w:color="auto" w:fill="auto"/>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Hepatitis Database matched with Florida eHARS and MERLIN</w:t>
            </w:r>
          </w:p>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Data through 2015</w:t>
            </w:r>
          </w:p>
        </w:tc>
      </w:tr>
      <w:tr w:rsidR="00A81B92" w:rsidRPr="00AC544F" w:rsidTr="00AC544F">
        <w:trPr>
          <w:trHeight w:val="1268"/>
          <w:jc w:val="center"/>
        </w:trPr>
        <w:tc>
          <w:tcPr>
            <w:tcW w:w="3066" w:type="dxa"/>
            <w:shd w:val="clear" w:color="auto" w:fill="auto"/>
            <w:vAlign w:val="center"/>
          </w:tcPr>
          <w:p w:rsidR="00A81B92" w:rsidRPr="00AC544F" w:rsidRDefault="00A81B92" w:rsidP="00A81B92">
            <w:pPr>
              <w:spacing w:after="0" w:line="240" w:lineRule="auto"/>
              <w:rPr>
                <w:rFonts w:ascii="Arial" w:eastAsia="Times New Roman" w:hAnsi="Arial" w:cs="Arial"/>
                <w:sz w:val="20"/>
                <w:szCs w:val="20"/>
              </w:rPr>
            </w:pPr>
            <w:r w:rsidRPr="00AC544F">
              <w:rPr>
                <w:rFonts w:ascii="Arial" w:eastAsia="Times New Roman" w:hAnsi="Arial" w:cs="Arial"/>
                <w:b/>
                <w:sz w:val="20"/>
                <w:szCs w:val="20"/>
              </w:rPr>
              <w:t xml:space="preserve">Homelessness </w:t>
            </w:r>
            <w:r w:rsidRPr="00AC544F">
              <w:rPr>
                <w:rFonts w:ascii="Arial" w:eastAsia="Times New Roman" w:hAnsi="Arial" w:cs="Arial"/>
                <w:sz w:val="20"/>
                <w:szCs w:val="20"/>
              </w:rPr>
              <w:t>(any living HIV/AIDS case who was homeless at diagnosis of HIV or AIDS and documented in eHARS)</w:t>
            </w:r>
          </w:p>
        </w:tc>
        <w:tc>
          <w:tcPr>
            <w:tcW w:w="2787"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207.3*</w:t>
            </w:r>
          </w:p>
        </w:tc>
        <w:tc>
          <w:tcPr>
            <w:tcW w:w="3338"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Florida eHARS (enhanced HIV/AIDS Reporting System)</w:t>
            </w:r>
          </w:p>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Data through 2015</w:t>
            </w:r>
          </w:p>
        </w:tc>
      </w:tr>
      <w:tr w:rsidR="00A81B92" w:rsidRPr="00AC544F" w:rsidTr="00AC544F">
        <w:trPr>
          <w:cantSplit/>
          <w:trHeight w:val="1277"/>
          <w:jc w:val="center"/>
        </w:trPr>
        <w:tc>
          <w:tcPr>
            <w:tcW w:w="3066" w:type="dxa"/>
            <w:shd w:val="clear" w:color="auto" w:fill="auto"/>
          </w:tcPr>
          <w:p w:rsidR="00A81B92" w:rsidRPr="00AC544F" w:rsidRDefault="00A81B92" w:rsidP="00A81B92">
            <w:pPr>
              <w:spacing w:after="0" w:line="240" w:lineRule="auto"/>
              <w:rPr>
                <w:rFonts w:ascii="Arial" w:eastAsia="Times New Roman" w:hAnsi="Arial" w:cs="Arial"/>
                <w:b/>
                <w:sz w:val="20"/>
                <w:szCs w:val="20"/>
              </w:rPr>
            </w:pPr>
            <w:r w:rsidRPr="00AC544F">
              <w:rPr>
                <w:rFonts w:ascii="Arial" w:eastAsia="Times New Roman" w:hAnsi="Arial" w:cs="Arial"/>
                <w:b/>
                <w:sz w:val="20"/>
                <w:szCs w:val="20"/>
              </w:rPr>
              <w:t xml:space="preserve">Substance Abuse </w:t>
            </w:r>
            <w:r w:rsidRPr="00AC544F">
              <w:rPr>
                <w:rFonts w:ascii="Arial" w:eastAsia="Times New Roman" w:hAnsi="Arial" w:cs="Arial"/>
                <w:sz w:val="20"/>
                <w:szCs w:val="20"/>
              </w:rPr>
              <w:t>(any living HIV/AIDS case noted with a history of substance abuse, e.g. alcohol, methamphetamine, cocaine, inhalents, etc.)</w:t>
            </w:r>
          </w:p>
        </w:tc>
        <w:tc>
          <w:tcPr>
            <w:tcW w:w="2787"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19,274.3*</w:t>
            </w:r>
          </w:p>
        </w:tc>
        <w:tc>
          <w:tcPr>
            <w:tcW w:w="3338"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2015 Florida eHARS (enhanced HIV/AIDS Reporting System)</w:t>
            </w:r>
          </w:p>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Data through 2015</w:t>
            </w:r>
          </w:p>
        </w:tc>
      </w:tr>
      <w:tr w:rsidR="00A81B92" w:rsidRPr="00AC544F" w:rsidTr="00AC544F">
        <w:trPr>
          <w:trHeight w:val="1025"/>
          <w:jc w:val="center"/>
        </w:trPr>
        <w:tc>
          <w:tcPr>
            <w:tcW w:w="3066" w:type="dxa"/>
            <w:shd w:val="clear" w:color="auto" w:fill="auto"/>
          </w:tcPr>
          <w:p w:rsidR="00A81B92" w:rsidRPr="00AC544F" w:rsidRDefault="00A81B92" w:rsidP="00A81B92">
            <w:pPr>
              <w:spacing w:after="0" w:line="240" w:lineRule="auto"/>
              <w:rPr>
                <w:rFonts w:ascii="Arial" w:eastAsia="Times New Roman" w:hAnsi="Arial" w:cs="Arial"/>
                <w:b/>
                <w:sz w:val="20"/>
                <w:szCs w:val="20"/>
              </w:rPr>
            </w:pPr>
            <w:r w:rsidRPr="00AC544F">
              <w:rPr>
                <w:rFonts w:ascii="Arial" w:eastAsia="Times New Roman" w:hAnsi="Arial" w:cs="Arial"/>
                <w:b/>
                <w:sz w:val="20"/>
                <w:szCs w:val="20"/>
              </w:rPr>
              <w:t xml:space="preserve">Chronic Mental Illness </w:t>
            </w:r>
            <w:r w:rsidRPr="00AC544F">
              <w:rPr>
                <w:rFonts w:ascii="Arial" w:eastAsia="Times New Roman" w:hAnsi="Arial" w:cs="Arial"/>
                <w:sz w:val="20"/>
                <w:szCs w:val="20"/>
              </w:rPr>
              <w:t>(any HIV/AIDS case noted with a history of mental illness as documented in HARS)</w:t>
            </w:r>
          </w:p>
        </w:tc>
        <w:tc>
          <w:tcPr>
            <w:tcW w:w="2787"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7,376.4*</w:t>
            </w:r>
          </w:p>
        </w:tc>
        <w:tc>
          <w:tcPr>
            <w:tcW w:w="3338"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2015 Florida eHARS (enhanced HIV/AIDS Reporting System)</w:t>
            </w:r>
          </w:p>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Data through 2015</w:t>
            </w:r>
          </w:p>
        </w:tc>
      </w:tr>
      <w:tr w:rsidR="00A81B92" w:rsidRPr="00AC544F" w:rsidTr="00AC544F">
        <w:trPr>
          <w:trHeight w:val="1268"/>
          <w:jc w:val="center"/>
        </w:trPr>
        <w:tc>
          <w:tcPr>
            <w:tcW w:w="3066" w:type="dxa"/>
            <w:shd w:val="clear" w:color="auto" w:fill="auto"/>
          </w:tcPr>
          <w:p w:rsidR="00A81B92" w:rsidRPr="00AC544F" w:rsidRDefault="00A81B92" w:rsidP="00A81B92">
            <w:pPr>
              <w:spacing w:after="0" w:line="240" w:lineRule="auto"/>
              <w:rPr>
                <w:rFonts w:ascii="Arial" w:eastAsia="Times New Roman" w:hAnsi="Arial" w:cs="Arial"/>
                <w:b/>
                <w:sz w:val="20"/>
                <w:szCs w:val="20"/>
              </w:rPr>
            </w:pPr>
            <w:r w:rsidRPr="00AC544F">
              <w:rPr>
                <w:rFonts w:ascii="Arial" w:eastAsia="Times New Roman" w:hAnsi="Arial" w:cs="Arial"/>
                <w:b/>
                <w:sz w:val="20"/>
                <w:szCs w:val="20"/>
              </w:rPr>
              <w:t xml:space="preserve">Formerly Incarcerated </w:t>
            </w:r>
            <w:r w:rsidRPr="00AC544F">
              <w:rPr>
                <w:rFonts w:ascii="Arial" w:eastAsia="Times New Roman" w:hAnsi="Arial" w:cs="Arial"/>
                <w:sz w:val="20"/>
                <w:szCs w:val="20"/>
              </w:rPr>
              <w:t>(HIV positive Florida Department of Corrections offenders released to the EMA in 2015)</w:t>
            </w:r>
          </w:p>
        </w:tc>
        <w:tc>
          <w:tcPr>
            <w:tcW w:w="2787"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highlight w:val="yellow"/>
              </w:rPr>
            </w:pPr>
            <w:r w:rsidRPr="00AC544F">
              <w:rPr>
                <w:rFonts w:ascii="Arial" w:eastAsia="Times New Roman" w:hAnsi="Arial" w:cs="Arial"/>
                <w:sz w:val="20"/>
                <w:szCs w:val="20"/>
              </w:rPr>
              <w:t>108</w:t>
            </w:r>
          </w:p>
        </w:tc>
        <w:tc>
          <w:tcPr>
            <w:tcW w:w="3338"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Department of Corrections Offender-based Information System</w:t>
            </w:r>
          </w:p>
          <w:p w:rsidR="00A81B92" w:rsidRPr="00AC544F" w:rsidRDefault="00A81B92" w:rsidP="00A81B92">
            <w:pPr>
              <w:spacing w:after="0" w:line="240" w:lineRule="auto"/>
              <w:jc w:val="center"/>
              <w:rPr>
                <w:rFonts w:ascii="Arial" w:eastAsia="Times New Roman" w:hAnsi="Arial" w:cs="Arial"/>
                <w:sz w:val="20"/>
                <w:szCs w:val="20"/>
                <w:highlight w:val="yellow"/>
              </w:rPr>
            </w:pPr>
            <w:r w:rsidRPr="00AC544F">
              <w:rPr>
                <w:rFonts w:ascii="Arial" w:eastAsia="Times New Roman" w:hAnsi="Arial" w:cs="Arial"/>
                <w:sz w:val="20"/>
                <w:szCs w:val="20"/>
              </w:rPr>
              <w:t>Data for Calendar Year 2015</w:t>
            </w:r>
          </w:p>
        </w:tc>
      </w:tr>
    </w:tbl>
    <w:p w:rsidR="00A81B92" w:rsidRPr="00AC544F" w:rsidRDefault="00A81B92" w:rsidP="00A81B92">
      <w:pPr>
        <w:spacing w:after="0" w:line="240" w:lineRule="auto"/>
        <w:rPr>
          <w:rFonts w:ascii="Arial" w:eastAsia="Times New Roman" w:hAnsi="Arial" w:cs="Arial"/>
          <w:sz w:val="20"/>
          <w:szCs w:val="20"/>
        </w:rPr>
      </w:pPr>
      <w:r w:rsidRPr="00AC544F">
        <w:rPr>
          <w:rFonts w:ascii="Arial" w:eastAsia="Times New Roman" w:hAnsi="Arial" w:cs="Arial"/>
          <w:sz w:val="20"/>
          <w:szCs w:val="20"/>
        </w:rPr>
        <w:t xml:space="preserve">* Rate per 100,000 living HIV/AIDS cases </w:t>
      </w:r>
    </w:p>
    <w:p w:rsidR="00A81B92" w:rsidRPr="00A81B92" w:rsidRDefault="00A81B92" w:rsidP="00A81B92">
      <w:pPr>
        <w:spacing w:after="0" w:line="240" w:lineRule="auto"/>
        <w:rPr>
          <w:rFonts w:ascii="Times New Roman" w:eastAsia="Times New Roman" w:hAnsi="Times New Roman" w:cs="Times New Roman"/>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C544F" w:rsidRDefault="00AC544F"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A81B92">
      <w:pPr>
        <w:spacing w:line="240" w:lineRule="auto"/>
        <w:rPr>
          <w:rFonts w:ascii="Times Roman" w:hAnsi="Times Roman"/>
          <w:b/>
          <w:color w:val="000000" w:themeColor="text1"/>
          <w:sz w:val="24"/>
          <w:szCs w:val="24"/>
        </w:rPr>
      </w:pPr>
      <w:r w:rsidRPr="00A81B92">
        <w:rPr>
          <w:rFonts w:ascii="Times Roman" w:eastAsia="Times New Roman" w:hAnsi="Times Roman" w:cs="Times New Roman"/>
          <w:b/>
          <w:noProof/>
          <w:sz w:val="24"/>
          <w:szCs w:val="24"/>
        </w:rPr>
        <mc:AlternateContent>
          <mc:Choice Requires="wps">
            <w:drawing>
              <wp:anchor distT="0" distB="0" distL="114300" distR="114300" simplePos="0" relativeHeight="251666432" behindDoc="0" locked="0" layoutInCell="1" allowOverlap="1" wp14:anchorId="0587E54A" wp14:editId="4973F8F6">
                <wp:simplePos x="0" y="0"/>
                <wp:positionH relativeFrom="column">
                  <wp:posOffset>-514350</wp:posOffset>
                </wp:positionH>
                <wp:positionV relativeFrom="paragraph">
                  <wp:posOffset>-142875</wp:posOffset>
                </wp:positionV>
                <wp:extent cx="1152525" cy="371475"/>
                <wp:effectExtent l="0" t="0" r="28575"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71475"/>
                        </a:xfrm>
                        <a:prstGeom prst="rect">
                          <a:avLst/>
                        </a:prstGeom>
                        <a:solidFill>
                          <a:srgbClr val="FFFFFF"/>
                        </a:solidFill>
                        <a:ln w="9525">
                          <a:solidFill>
                            <a:srgbClr val="000000"/>
                          </a:solidFill>
                          <a:miter lim="800000"/>
                          <a:headEnd/>
                          <a:tailEnd/>
                        </a:ln>
                      </wps:spPr>
                      <wps:txbx>
                        <w:txbxContent>
                          <w:p w:rsidR="00A81B92" w:rsidRPr="00A75259" w:rsidRDefault="00A81B92" w:rsidP="00A81B92">
                            <w:r>
                              <w:rPr>
                                <w:smallCaps/>
                              </w:rPr>
                              <w:t>Attachment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margin-left:-40.5pt;margin-top:-11.25pt;width:90.7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">
                <v:textbox>
                  <w:txbxContent>
                    <w:p w:rsidR="00A81B92" w:rsidRPr="00A75259" w:rsidRDefault="00A81B92" w:rsidP="00A81B92">
                      <w:r>
                        <w:rPr>
                          <w:smallCaps/>
                        </w:rPr>
                        <w:t>Attachment 3</w:t>
                      </w:r>
                    </w:p>
                  </w:txbxContent>
                </v:textbox>
              </v:shape>
            </w:pict>
          </mc:Fallback>
        </mc:AlternateContent>
      </w:r>
      <w:r>
        <w:rPr>
          <w:rFonts w:ascii="Times Roman" w:hAnsi="Times Roman"/>
          <w:b/>
          <w:color w:val="000000" w:themeColor="text1"/>
          <w:sz w:val="24"/>
          <w:szCs w:val="24"/>
        </w:rPr>
        <w:br w:type="textWrapping" w:clear="all"/>
      </w:r>
    </w:p>
    <w:p w:rsidR="00A81B92" w:rsidRDefault="00A81B92" w:rsidP="00A81B92">
      <w:pPr>
        <w:spacing w:line="240" w:lineRule="auto"/>
        <w:jc w:val="center"/>
        <w:rPr>
          <w:rFonts w:ascii="Times Roman" w:hAnsi="Times Roman"/>
          <w:b/>
          <w:color w:val="000000" w:themeColor="text1"/>
          <w:sz w:val="24"/>
          <w:szCs w:val="24"/>
        </w:rPr>
      </w:pPr>
    </w:p>
    <w:p w:rsidR="00A81B92" w:rsidRDefault="00A81B92" w:rsidP="00A81B92">
      <w:pPr>
        <w:spacing w:line="240" w:lineRule="auto"/>
        <w:jc w:val="center"/>
        <w:rPr>
          <w:rFonts w:ascii="Times Roman" w:hAnsi="Times Roman"/>
          <w:b/>
          <w:color w:val="000000" w:themeColor="text1"/>
          <w:sz w:val="24"/>
          <w:szCs w:val="24"/>
        </w:rPr>
      </w:pPr>
      <w:r>
        <w:rPr>
          <w:rFonts w:ascii="Times Roman" w:hAnsi="Times Roman"/>
          <w:b/>
          <w:noProof/>
          <w:color w:val="000000" w:themeColor="text1"/>
          <w:sz w:val="24"/>
          <w:szCs w:val="24"/>
        </w:rPr>
        <w:drawing>
          <wp:inline distT="0" distB="0" distL="0" distR="0" wp14:anchorId="1CE54460" wp14:editId="227CD358">
            <wp:extent cx="5229225" cy="3629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3761" cy="3639113"/>
                    </a:xfrm>
                    <a:prstGeom prst="rect">
                      <a:avLst/>
                    </a:prstGeom>
                    <a:noFill/>
                  </pic:spPr>
                </pic:pic>
              </a:graphicData>
            </a:graphic>
          </wp:inline>
        </w:drawing>
      </w:r>
    </w:p>
    <w:p w:rsidR="00A81B92" w:rsidRPr="00A81B92" w:rsidRDefault="00A81B92" w:rsidP="00A81B92">
      <w:pPr>
        <w:rPr>
          <w:rFonts w:ascii="Times Roman" w:hAnsi="Times Roman"/>
          <w:sz w:val="24"/>
          <w:szCs w:val="24"/>
        </w:rPr>
      </w:pPr>
    </w:p>
    <w:p w:rsidR="00A81B92" w:rsidRDefault="00A81B92" w:rsidP="00A81B92">
      <w:pPr>
        <w:rPr>
          <w:rFonts w:ascii="Times Roman" w:hAnsi="Times Roman"/>
          <w:sz w:val="24"/>
          <w:szCs w:val="24"/>
        </w:rPr>
      </w:pPr>
    </w:p>
    <w:p w:rsidR="00A81B92" w:rsidRDefault="00A81B92" w:rsidP="00A81B92">
      <w:pPr>
        <w:tabs>
          <w:tab w:val="left" w:pos="5205"/>
        </w:tabs>
        <w:rPr>
          <w:rFonts w:ascii="Times Roman" w:hAnsi="Times Roman"/>
          <w:sz w:val="24"/>
          <w:szCs w:val="24"/>
        </w:rPr>
      </w:pPr>
      <w:r>
        <w:rPr>
          <w:rFonts w:ascii="Times Roman" w:hAnsi="Times Roman"/>
          <w:sz w:val="24"/>
          <w:szCs w:val="24"/>
        </w:rPr>
        <w:tab/>
      </w:r>
    </w:p>
    <w:p w:rsidR="00A81B92" w:rsidRDefault="00A81B92" w:rsidP="00A81B92">
      <w:pPr>
        <w:tabs>
          <w:tab w:val="left" w:pos="5205"/>
        </w:tabs>
        <w:jc w:val="center"/>
        <w:rPr>
          <w:rFonts w:ascii="Times Roman" w:hAnsi="Times Roman"/>
          <w:sz w:val="24"/>
          <w:szCs w:val="24"/>
        </w:rPr>
      </w:pPr>
      <w:r>
        <w:rPr>
          <w:rFonts w:ascii="Times Roman" w:hAnsi="Times Roman"/>
          <w:noProof/>
          <w:sz w:val="24"/>
          <w:szCs w:val="24"/>
        </w:rPr>
        <w:lastRenderedPageBreak/>
        <w:drawing>
          <wp:inline distT="0" distB="0" distL="0" distR="0" wp14:anchorId="57DE567E">
            <wp:extent cx="4828540" cy="3621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8540" cy="3621405"/>
                    </a:xfrm>
                    <a:prstGeom prst="rect">
                      <a:avLst/>
                    </a:prstGeom>
                    <a:noFill/>
                  </pic:spPr>
                </pic:pic>
              </a:graphicData>
            </a:graphic>
          </wp:inline>
        </w:drawing>
      </w:r>
    </w:p>
    <w:p w:rsidR="00A81B92" w:rsidRPr="00A81B92" w:rsidRDefault="00A81B92" w:rsidP="00A81B92">
      <w:pPr>
        <w:tabs>
          <w:tab w:val="left" w:pos="5205"/>
        </w:tabs>
        <w:jc w:val="center"/>
        <w:rPr>
          <w:rFonts w:ascii="Times Roman" w:hAnsi="Times Roman"/>
          <w:sz w:val="24"/>
          <w:szCs w:val="24"/>
        </w:rPr>
      </w:pPr>
      <w:r>
        <w:object w:dxaOrig="7206"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303.1pt" o:ole="">
            <v:imagedata r:id="rId31" o:title=""/>
          </v:shape>
          <o:OLEObject Type="Embed" ProgID="PowerPoint.Slide.12" ShapeID="_x0000_i1025" DrawAspect="Content" ObjectID="_1555919575" r:id="rId32"/>
        </w:object>
      </w:r>
    </w:p>
    <w:sectPr w:rsidR="00A81B92" w:rsidRPr="00A81B92" w:rsidSect="00B47552">
      <w:footerReference w:type="default" r:id="rId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703" w:rsidRDefault="00156703" w:rsidP="00156703">
      <w:pPr>
        <w:spacing w:after="0" w:line="240" w:lineRule="auto"/>
      </w:pPr>
      <w:r>
        <w:separator/>
      </w:r>
    </w:p>
  </w:endnote>
  <w:endnote w:type="continuationSeparator" w:id="0">
    <w:p w:rsidR="00156703" w:rsidRDefault="00156703" w:rsidP="00156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D5A" w:rsidRDefault="00E87D5A">
    <w:pPr>
      <w:pStyle w:val="Footer"/>
      <w:jc w:val="right"/>
    </w:pPr>
  </w:p>
  <w:p w:rsidR="00E518B8" w:rsidRDefault="005055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383281"/>
      <w:docPartObj>
        <w:docPartGallery w:val="Page Numbers (Bottom of Page)"/>
        <w:docPartUnique/>
      </w:docPartObj>
    </w:sdtPr>
    <w:sdtEndPr>
      <w:rPr>
        <w:rFonts w:ascii="Times Roman" w:hAnsi="Times Roman"/>
        <w:noProof/>
        <w:sz w:val="20"/>
        <w:szCs w:val="20"/>
      </w:rPr>
    </w:sdtEndPr>
    <w:sdtContent>
      <w:p w:rsidR="00B47552" w:rsidRPr="00B47552" w:rsidRDefault="00B47552">
        <w:pPr>
          <w:pStyle w:val="Footer"/>
          <w:jc w:val="right"/>
          <w:rPr>
            <w:rFonts w:ascii="Times Roman" w:hAnsi="Times Roman"/>
            <w:noProof/>
            <w:sz w:val="20"/>
            <w:szCs w:val="20"/>
          </w:rPr>
        </w:pPr>
        <w:r w:rsidRPr="00B47552">
          <w:rPr>
            <w:rFonts w:ascii="Times Roman" w:hAnsi="Times Roman"/>
            <w:sz w:val="20"/>
            <w:szCs w:val="20"/>
          </w:rPr>
          <w:fldChar w:fldCharType="begin"/>
        </w:r>
        <w:r w:rsidRPr="00B47552">
          <w:rPr>
            <w:rFonts w:ascii="Times Roman" w:hAnsi="Times Roman"/>
            <w:sz w:val="20"/>
            <w:szCs w:val="20"/>
          </w:rPr>
          <w:instrText xml:space="preserve"> PAGE   \* MERGEFORMAT </w:instrText>
        </w:r>
        <w:r w:rsidRPr="00B47552">
          <w:rPr>
            <w:rFonts w:ascii="Times Roman" w:hAnsi="Times Roman"/>
            <w:sz w:val="20"/>
            <w:szCs w:val="20"/>
          </w:rPr>
          <w:fldChar w:fldCharType="separate"/>
        </w:r>
        <w:r w:rsidR="0050554D">
          <w:rPr>
            <w:rFonts w:ascii="Times Roman" w:hAnsi="Times Roman"/>
            <w:noProof/>
            <w:sz w:val="20"/>
            <w:szCs w:val="20"/>
          </w:rPr>
          <w:t>3</w:t>
        </w:r>
        <w:r w:rsidRPr="00B47552">
          <w:rPr>
            <w:rFonts w:ascii="Times Roman" w:hAnsi="Times Roman"/>
            <w:noProof/>
            <w:sz w:val="20"/>
            <w:szCs w:val="20"/>
          </w:rPr>
          <w:fldChar w:fldCharType="end"/>
        </w:r>
      </w:p>
    </w:sdtContent>
  </w:sdt>
  <w:p w:rsidR="00E87D5A" w:rsidRPr="00AC544F" w:rsidRDefault="00AC544F">
    <w:pPr>
      <w:pStyle w:val="Footer"/>
      <w:rPr>
        <w:rFonts w:ascii="Arial" w:hAnsi="Arial" w:cs="Arial"/>
        <w:sz w:val="20"/>
        <w:szCs w:val="20"/>
      </w:rPr>
    </w:pPr>
    <w:r w:rsidRPr="00AC544F">
      <w:rPr>
        <w:rFonts w:ascii="Arial" w:hAnsi="Arial" w:cs="Arial"/>
        <w:sz w:val="20"/>
        <w:szCs w:val="20"/>
      </w:rPr>
      <w:t xml:space="preserve">2016-2017 </w:t>
    </w:r>
    <w:r>
      <w:rPr>
        <w:rFonts w:ascii="Arial" w:hAnsi="Arial" w:cs="Arial"/>
        <w:sz w:val="20"/>
        <w:szCs w:val="20"/>
      </w:rPr>
      <w:t xml:space="preserve">HIV/AIDS </w:t>
    </w:r>
    <w:r w:rsidRPr="00AC544F">
      <w:rPr>
        <w:rFonts w:ascii="Arial" w:hAnsi="Arial" w:cs="Arial"/>
        <w:sz w:val="20"/>
        <w:szCs w:val="20"/>
      </w:rPr>
      <w:t>Epidemiolog</w:t>
    </w:r>
    <w:r>
      <w:rPr>
        <w:rFonts w:ascii="Arial" w:hAnsi="Arial" w:cs="Arial"/>
        <w:sz w:val="20"/>
        <w:szCs w:val="20"/>
      </w:rPr>
      <w:t>y Report Tampa-St. Petersburg EMA</w:t>
    </w:r>
    <w:r>
      <w:rPr>
        <w:rFonts w:ascii="Arial" w:hAnsi="Arial" w:cs="Arial"/>
        <w:sz w:val="20"/>
        <w:szCs w:val="20"/>
      </w:rPr>
      <w:br/>
      <w:t>Suncoast Health Council,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703" w:rsidRDefault="00156703" w:rsidP="00156703">
      <w:pPr>
        <w:spacing w:after="0" w:line="240" w:lineRule="auto"/>
      </w:pPr>
      <w:r>
        <w:separator/>
      </w:r>
    </w:p>
  </w:footnote>
  <w:footnote w:type="continuationSeparator" w:id="0">
    <w:p w:rsidR="00156703" w:rsidRDefault="00156703" w:rsidP="001567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B92" w:rsidRPr="00A81B92" w:rsidRDefault="00A81B92">
    <w:pPr>
      <w:pStyle w:val="Header"/>
      <w:rPr>
        <w:rFonts w:ascii="Times Roman" w:hAnsi="Times Roman"/>
        <w:sz w:val="24"/>
        <w:szCs w:val="24"/>
      </w:rP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5A2"/>
    <w:rsid w:val="00156703"/>
    <w:rsid w:val="00166FD6"/>
    <w:rsid w:val="0021566A"/>
    <w:rsid w:val="004225A2"/>
    <w:rsid w:val="00454E80"/>
    <w:rsid w:val="0050554D"/>
    <w:rsid w:val="0056376E"/>
    <w:rsid w:val="005D0A22"/>
    <w:rsid w:val="005D4BA1"/>
    <w:rsid w:val="006333C2"/>
    <w:rsid w:val="00771F85"/>
    <w:rsid w:val="007D600C"/>
    <w:rsid w:val="00876A55"/>
    <w:rsid w:val="00885AD0"/>
    <w:rsid w:val="0090635A"/>
    <w:rsid w:val="009F5741"/>
    <w:rsid w:val="00A75EB9"/>
    <w:rsid w:val="00A81B92"/>
    <w:rsid w:val="00AC40F5"/>
    <w:rsid w:val="00AC544F"/>
    <w:rsid w:val="00B47552"/>
    <w:rsid w:val="00B53B9E"/>
    <w:rsid w:val="00D12090"/>
    <w:rsid w:val="00E87D5A"/>
    <w:rsid w:val="00F945D3"/>
    <w:rsid w:val="00F95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5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2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225A2"/>
  </w:style>
  <w:style w:type="paragraph" w:styleId="BalloonText">
    <w:name w:val="Balloon Text"/>
    <w:basedOn w:val="Normal"/>
    <w:link w:val="BalloonTextChar"/>
    <w:uiPriority w:val="99"/>
    <w:semiHidden/>
    <w:unhideWhenUsed/>
    <w:rsid w:val="004225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5A2"/>
    <w:rPr>
      <w:rFonts w:ascii="Tahoma" w:hAnsi="Tahoma" w:cs="Tahoma"/>
      <w:sz w:val="16"/>
      <w:szCs w:val="16"/>
    </w:rPr>
  </w:style>
  <w:style w:type="paragraph" w:styleId="Footer">
    <w:name w:val="footer"/>
    <w:basedOn w:val="Normal"/>
    <w:link w:val="FooterChar"/>
    <w:uiPriority w:val="99"/>
    <w:unhideWhenUsed/>
    <w:rsid w:val="00454E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E80"/>
  </w:style>
  <w:style w:type="paragraph" w:styleId="Header">
    <w:name w:val="header"/>
    <w:basedOn w:val="Normal"/>
    <w:link w:val="HeaderChar"/>
    <w:uiPriority w:val="99"/>
    <w:unhideWhenUsed/>
    <w:rsid w:val="001567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7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5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2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225A2"/>
  </w:style>
  <w:style w:type="paragraph" w:styleId="BalloonText">
    <w:name w:val="Balloon Text"/>
    <w:basedOn w:val="Normal"/>
    <w:link w:val="BalloonTextChar"/>
    <w:uiPriority w:val="99"/>
    <w:semiHidden/>
    <w:unhideWhenUsed/>
    <w:rsid w:val="004225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5A2"/>
    <w:rPr>
      <w:rFonts w:ascii="Tahoma" w:hAnsi="Tahoma" w:cs="Tahoma"/>
      <w:sz w:val="16"/>
      <w:szCs w:val="16"/>
    </w:rPr>
  </w:style>
  <w:style w:type="paragraph" w:styleId="Footer">
    <w:name w:val="footer"/>
    <w:basedOn w:val="Normal"/>
    <w:link w:val="FooterChar"/>
    <w:uiPriority w:val="99"/>
    <w:unhideWhenUsed/>
    <w:rsid w:val="00454E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E80"/>
  </w:style>
  <w:style w:type="paragraph" w:styleId="Header">
    <w:name w:val="header"/>
    <w:basedOn w:val="Normal"/>
    <w:link w:val="HeaderChar"/>
    <w:uiPriority w:val="99"/>
    <w:unhideWhenUsed/>
    <w:rsid w:val="001567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94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oter" Target="footer2.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chart" Target="charts/chart6.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package" Target="embeddings/Microsoft_PowerPoint_Slide12.sldx"/><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9.xml"/><Relationship Id="rId28"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Figure 2: Tampa-St. Pete EMA</a:t>
            </a:r>
          </a:p>
          <a:p>
            <a:pPr algn="ctr">
              <a:defRPr sz="1200">
                <a:latin typeface="Times New Roman" panose="02020603050405020304" pitchFamily="18" charset="0"/>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HIV Incidence by Race/Ethnicity </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0714771508064956"/>
          <c:y val="1.8709073900841908E-2"/>
        </c:manualLayout>
      </c:layout>
      <c:overlay val="0"/>
    </c:title>
    <c:autoTitleDeleted val="0"/>
    <c:plotArea>
      <c:layout/>
      <c:lineChart>
        <c:grouping val="standard"/>
        <c:varyColors val="0"/>
        <c:ser>
          <c:idx val="0"/>
          <c:order val="0"/>
          <c:tx>
            <c:strRef>
              <c:f>Sheet1!$B$1</c:f>
              <c:strCache>
                <c:ptCount val="1"/>
                <c:pt idx="0">
                  <c:v>White </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229</c:v>
                </c:pt>
                <c:pt idx="1">
                  <c:v>209</c:v>
                </c:pt>
                <c:pt idx="2">
                  <c:v>194</c:v>
                </c:pt>
                <c:pt idx="3">
                  <c:v>192</c:v>
                </c:pt>
                <c:pt idx="4">
                  <c:v>208</c:v>
                </c:pt>
              </c:numCache>
            </c:numRef>
          </c:val>
          <c:smooth val="0"/>
        </c:ser>
        <c:ser>
          <c:idx val="1"/>
          <c:order val="1"/>
          <c:tx>
            <c:strRef>
              <c:f>Sheet1!$C$1</c:f>
              <c:strCache>
                <c:ptCount val="1"/>
                <c:pt idx="0">
                  <c:v>Black</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213</c:v>
                </c:pt>
                <c:pt idx="1">
                  <c:v>202</c:v>
                </c:pt>
                <c:pt idx="2">
                  <c:v>191</c:v>
                </c:pt>
                <c:pt idx="3">
                  <c:v>238</c:v>
                </c:pt>
                <c:pt idx="4">
                  <c:v>234</c:v>
                </c:pt>
              </c:numCache>
            </c:numRef>
          </c:val>
          <c:smooth val="0"/>
        </c:ser>
        <c:ser>
          <c:idx val="2"/>
          <c:order val="2"/>
          <c:tx>
            <c:strRef>
              <c:f>Sheet1!$D$1</c:f>
              <c:strCache>
                <c:ptCount val="1"/>
                <c:pt idx="0">
                  <c:v>Hispanic</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73</c:v>
                </c:pt>
                <c:pt idx="1">
                  <c:v>77</c:v>
                </c:pt>
                <c:pt idx="2">
                  <c:v>95</c:v>
                </c:pt>
                <c:pt idx="3">
                  <c:v>113</c:v>
                </c:pt>
                <c:pt idx="4">
                  <c:v>132</c:v>
                </c:pt>
              </c:numCache>
            </c:numRef>
          </c:val>
          <c:smooth val="0"/>
        </c:ser>
        <c:ser>
          <c:idx val="3"/>
          <c:order val="3"/>
          <c:tx>
            <c:strRef>
              <c:f>Sheet1!$E$1</c:f>
              <c:strCache>
                <c:ptCount val="1"/>
                <c:pt idx="0">
                  <c:v>Other</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Sheet1!$E$2:$E$6</c:f>
              <c:numCache>
                <c:formatCode>General</c:formatCode>
                <c:ptCount val="5"/>
                <c:pt idx="0">
                  <c:v>7</c:v>
                </c:pt>
                <c:pt idx="1">
                  <c:v>14</c:v>
                </c:pt>
                <c:pt idx="2">
                  <c:v>19</c:v>
                </c:pt>
                <c:pt idx="3">
                  <c:v>14</c:v>
                </c:pt>
                <c:pt idx="4">
                  <c:v>20</c:v>
                </c:pt>
              </c:numCache>
            </c:numRef>
          </c:val>
          <c:smooth val="0"/>
        </c:ser>
        <c:dLbls>
          <c:showLegendKey val="0"/>
          <c:showVal val="0"/>
          <c:showCatName val="0"/>
          <c:showSerName val="0"/>
          <c:showPercent val="0"/>
          <c:showBubbleSize val="0"/>
        </c:dLbls>
        <c:marker val="1"/>
        <c:smooth val="0"/>
        <c:axId val="66456192"/>
        <c:axId val="66458368"/>
      </c:lineChart>
      <c:catAx>
        <c:axId val="6645619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Year</a:t>
                </a:r>
              </a:p>
            </c:rich>
          </c:tx>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66458368"/>
        <c:crosses val="autoZero"/>
        <c:auto val="1"/>
        <c:lblAlgn val="ctr"/>
        <c:lblOffset val="100"/>
        <c:noMultiLvlLbl val="0"/>
      </c:catAx>
      <c:valAx>
        <c:axId val="66458368"/>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Cases</a:t>
                </a:r>
              </a:p>
            </c:rich>
          </c:tx>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66456192"/>
        <c:crosses val="autoZero"/>
        <c:crossBetween val="between"/>
      </c:valAx>
    </c:plotArea>
    <c:legend>
      <c:legendPos val="r"/>
      <c:layout>
        <c:manualLayout>
          <c:xMode val="edge"/>
          <c:yMode val="edge"/>
          <c:x val="0.66949477391795009"/>
          <c:y val="0.34078160716346378"/>
          <c:w val="0.29652215839168855"/>
          <c:h val="0.41357323325238554"/>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baseline="0">
                <a:latin typeface="Times New Roman" panose="02020603050405020304" pitchFamily="18" charset="0"/>
                <a:cs typeface="Times New Roman" panose="02020603050405020304" pitchFamily="18" charset="0"/>
              </a:rPr>
              <a:t>Figure 13: ADAP Demographics by Race</a:t>
            </a:r>
            <a:endParaRPr lang="en-US" sz="1100">
              <a:latin typeface="Times New Roman" panose="02020603050405020304" pitchFamily="18" charset="0"/>
              <a:cs typeface="Times New Roman" panose="02020603050405020304" pitchFamily="18" charset="0"/>
            </a:endParaRPr>
          </a:p>
        </c:rich>
      </c:tx>
      <c:layout/>
      <c:overlay val="0"/>
    </c:title>
    <c:autoTitleDeleted val="0"/>
    <c:plotArea>
      <c:layout>
        <c:manualLayout>
          <c:layoutTarget val="inner"/>
          <c:xMode val="edge"/>
          <c:yMode val="edge"/>
          <c:x val="0.16604412400257196"/>
          <c:y val="0.11828793774319066"/>
          <c:w val="0.78442441682741459"/>
          <c:h val="0.34013092721386473"/>
        </c:manualLayout>
      </c:layout>
      <c:barChart>
        <c:barDir val="bar"/>
        <c:grouping val="clustered"/>
        <c:varyColors val="0"/>
        <c:ser>
          <c:idx val="0"/>
          <c:order val="0"/>
          <c:tx>
            <c:strRef>
              <c:f>Sheet1!$B$1</c:f>
              <c:strCache>
                <c:ptCount val="1"/>
                <c:pt idx="0">
                  <c:v>Other </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49</c:v>
                </c:pt>
                <c:pt idx="1">
                  <c:v>66</c:v>
                </c:pt>
                <c:pt idx="2">
                  <c:v>82</c:v>
                </c:pt>
                <c:pt idx="3">
                  <c:v>100</c:v>
                </c:pt>
                <c:pt idx="4">
                  <c:v>106</c:v>
                </c:pt>
              </c:numCache>
            </c:numRef>
          </c:val>
        </c:ser>
        <c:ser>
          <c:idx val="1"/>
          <c:order val="1"/>
          <c:tx>
            <c:strRef>
              <c:f>Sheet1!$C$1</c:f>
              <c:strCache>
                <c:ptCount val="1"/>
                <c:pt idx="0">
                  <c:v>Hispanic </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189</c:v>
                </c:pt>
                <c:pt idx="1">
                  <c:v>226</c:v>
                </c:pt>
                <c:pt idx="2">
                  <c:v>273</c:v>
                </c:pt>
                <c:pt idx="3">
                  <c:v>305</c:v>
                </c:pt>
                <c:pt idx="4">
                  <c:v>320</c:v>
                </c:pt>
              </c:numCache>
            </c:numRef>
          </c:val>
        </c:ser>
        <c:ser>
          <c:idx val="2"/>
          <c:order val="2"/>
          <c:tx>
            <c:strRef>
              <c:f>Sheet1!$D$1</c:f>
              <c:strCache>
                <c:ptCount val="1"/>
                <c:pt idx="0">
                  <c:v>Black</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338</c:v>
                </c:pt>
                <c:pt idx="1">
                  <c:v>430</c:v>
                </c:pt>
                <c:pt idx="2">
                  <c:v>541</c:v>
                </c:pt>
                <c:pt idx="3">
                  <c:v>562</c:v>
                </c:pt>
                <c:pt idx="4">
                  <c:v>525</c:v>
                </c:pt>
              </c:numCache>
            </c:numRef>
          </c:val>
        </c:ser>
        <c:ser>
          <c:idx val="3"/>
          <c:order val="3"/>
          <c:tx>
            <c:strRef>
              <c:f>Sheet1!$E$1</c:f>
              <c:strCache>
                <c:ptCount val="1"/>
                <c:pt idx="0">
                  <c:v>White </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503</c:v>
                </c:pt>
                <c:pt idx="1">
                  <c:v>594</c:v>
                </c:pt>
                <c:pt idx="2">
                  <c:v>671</c:v>
                </c:pt>
                <c:pt idx="3">
                  <c:v>755</c:v>
                </c:pt>
                <c:pt idx="4">
                  <c:v>678</c:v>
                </c:pt>
              </c:numCache>
            </c:numRef>
          </c:val>
        </c:ser>
        <c:dLbls>
          <c:showLegendKey val="0"/>
          <c:showVal val="0"/>
          <c:showCatName val="0"/>
          <c:showSerName val="0"/>
          <c:showPercent val="0"/>
          <c:showBubbleSize val="0"/>
        </c:dLbls>
        <c:gapWidth val="150"/>
        <c:axId val="152195072"/>
        <c:axId val="152196608"/>
      </c:barChart>
      <c:catAx>
        <c:axId val="152195072"/>
        <c:scaling>
          <c:orientation val="minMax"/>
        </c:scaling>
        <c:delete val="0"/>
        <c:axPos val="l"/>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2196608"/>
        <c:crosses val="autoZero"/>
        <c:auto val="1"/>
        <c:lblAlgn val="ctr"/>
        <c:lblOffset val="100"/>
        <c:noMultiLvlLbl val="0"/>
      </c:catAx>
      <c:valAx>
        <c:axId val="152196608"/>
        <c:scaling>
          <c:orientation val="minMax"/>
        </c:scaling>
        <c:delete val="0"/>
        <c:axPos val="b"/>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2195072"/>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en-US"/>
          </a:p>
        </c:txPr>
      </c:dTable>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aseline="0">
                <a:latin typeface="Times New Roman" panose="02020603050405020304" pitchFamily="18" charset="0"/>
                <a:cs typeface="Times New Roman" panose="02020603050405020304" pitchFamily="18" charset="0"/>
              </a:rPr>
              <a:t>Figure 14: Positive Test Results in the EMA</a:t>
            </a:r>
            <a:endParaRPr lang="en-US" sz="1200">
              <a:latin typeface="Times New Roman" panose="02020603050405020304" pitchFamily="18" charset="0"/>
              <a:cs typeface="Times New Roman" panose="02020603050405020304" pitchFamily="18" charset="0"/>
            </a:endParaRPr>
          </a:p>
        </c:rich>
      </c:tx>
      <c:layout/>
      <c:overlay val="0"/>
    </c:title>
    <c:autoTitleDeleted val="0"/>
    <c:plotArea>
      <c:layout/>
      <c:lineChart>
        <c:grouping val="standard"/>
        <c:varyColors val="0"/>
        <c:ser>
          <c:idx val="0"/>
          <c:order val="0"/>
          <c:tx>
            <c:strRef>
              <c:f>Sheet1!$B$1</c:f>
              <c:strCache>
                <c:ptCount val="1"/>
                <c:pt idx="0">
                  <c:v>Hepatitis C</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formatCode="#,##0">
                  <c:v>4497</c:v>
                </c:pt>
                <c:pt idx="1">
                  <c:v>3023</c:v>
                </c:pt>
                <c:pt idx="2" formatCode="#,##0">
                  <c:v>3187</c:v>
                </c:pt>
                <c:pt idx="3" formatCode="#,##0">
                  <c:v>3668</c:v>
                </c:pt>
                <c:pt idx="4" formatCode="#,##0">
                  <c:v>4454</c:v>
                </c:pt>
              </c:numCache>
            </c:numRef>
          </c:val>
          <c:smooth val="0"/>
        </c:ser>
        <c:ser>
          <c:idx val="1"/>
          <c:order val="1"/>
          <c:tx>
            <c:strRef>
              <c:f>Sheet1!$C$1</c:f>
              <c:strCache>
                <c:ptCount val="1"/>
                <c:pt idx="0">
                  <c:v>Chlamydia</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formatCode="#,##0">
                  <c:v>12485</c:v>
                </c:pt>
                <c:pt idx="1">
                  <c:v>12195</c:v>
                </c:pt>
                <c:pt idx="2" formatCode="#,##0">
                  <c:v>12741</c:v>
                </c:pt>
                <c:pt idx="3" formatCode="#,##0">
                  <c:v>12903</c:v>
                </c:pt>
                <c:pt idx="4" formatCode="#,##0">
                  <c:v>13414</c:v>
                </c:pt>
              </c:numCache>
            </c:numRef>
          </c:val>
          <c:smooth val="0"/>
        </c:ser>
        <c:ser>
          <c:idx val="2"/>
          <c:order val="2"/>
          <c:tx>
            <c:strRef>
              <c:f>Sheet1!$D$1</c:f>
              <c:strCache>
                <c:ptCount val="1"/>
                <c:pt idx="0">
                  <c:v>Gonorrhea</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formatCode="#,##0">
                  <c:v>3632</c:v>
                </c:pt>
                <c:pt idx="1">
                  <c:v>3402</c:v>
                </c:pt>
                <c:pt idx="2" formatCode="#,##0">
                  <c:v>3674</c:v>
                </c:pt>
                <c:pt idx="3" formatCode="#,##0">
                  <c:v>3410</c:v>
                </c:pt>
                <c:pt idx="4" formatCode="#,##0">
                  <c:v>3897</c:v>
                </c:pt>
              </c:numCache>
            </c:numRef>
          </c:val>
          <c:smooth val="0"/>
        </c:ser>
        <c:ser>
          <c:idx val="3"/>
          <c:order val="3"/>
          <c:tx>
            <c:strRef>
              <c:f>Sheet1!$E$1</c:f>
              <c:strCache>
                <c:ptCount val="1"/>
                <c:pt idx="0">
                  <c:v>Syphilis</c:v>
                </c:pt>
              </c:strCache>
            </c:strRef>
          </c:tx>
          <c:cat>
            <c:numRef>
              <c:f>Sheet1!$A$2:$A$6</c:f>
              <c:numCache>
                <c:formatCode>General</c:formatCode>
                <c:ptCount val="5"/>
                <c:pt idx="0">
                  <c:v>2011</c:v>
                </c:pt>
                <c:pt idx="1">
                  <c:v>2012</c:v>
                </c:pt>
                <c:pt idx="2">
                  <c:v>2013</c:v>
                </c:pt>
                <c:pt idx="3">
                  <c:v>2014</c:v>
                </c:pt>
                <c:pt idx="4">
                  <c:v>2015</c:v>
                </c:pt>
              </c:numCache>
            </c:numRef>
          </c:cat>
          <c:val>
            <c:numRef>
              <c:f>Sheet1!$E$2:$E$6</c:f>
              <c:numCache>
                <c:formatCode>General</c:formatCode>
                <c:ptCount val="5"/>
                <c:pt idx="0">
                  <c:v>198</c:v>
                </c:pt>
                <c:pt idx="1">
                  <c:v>230</c:v>
                </c:pt>
                <c:pt idx="2">
                  <c:v>227</c:v>
                </c:pt>
                <c:pt idx="3">
                  <c:v>316</c:v>
                </c:pt>
                <c:pt idx="4">
                  <c:v>394</c:v>
                </c:pt>
              </c:numCache>
            </c:numRef>
          </c:val>
          <c:smooth val="0"/>
        </c:ser>
        <c:ser>
          <c:idx val="4"/>
          <c:order val="4"/>
          <c:tx>
            <c:strRef>
              <c:f>Sheet1!$F$1</c:f>
              <c:strCache>
                <c:ptCount val="1"/>
                <c:pt idx="0">
                  <c:v>Tuberculosis</c:v>
                </c:pt>
              </c:strCache>
            </c:strRef>
          </c:tx>
          <c:cat>
            <c:numRef>
              <c:f>Sheet1!$A$2:$A$6</c:f>
              <c:numCache>
                <c:formatCode>General</c:formatCode>
                <c:ptCount val="5"/>
                <c:pt idx="0">
                  <c:v>2011</c:v>
                </c:pt>
                <c:pt idx="1">
                  <c:v>2012</c:v>
                </c:pt>
                <c:pt idx="2">
                  <c:v>2013</c:v>
                </c:pt>
                <c:pt idx="3">
                  <c:v>2014</c:v>
                </c:pt>
                <c:pt idx="4">
                  <c:v>2015</c:v>
                </c:pt>
              </c:numCache>
            </c:numRef>
          </c:cat>
          <c:val>
            <c:numRef>
              <c:f>Sheet1!$F$2:$F$6</c:f>
              <c:numCache>
                <c:formatCode>General</c:formatCode>
                <c:ptCount val="5"/>
                <c:pt idx="0">
                  <c:v>82</c:v>
                </c:pt>
                <c:pt idx="1">
                  <c:v>77</c:v>
                </c:pt>
                <c:pt idx="2">
                  <c:v>93</c:v>
                </c:pt>
                <c:pt idx="3">
                  <c:v>81</c:v>
                </c:pt>
                <c:pt idx="4">
                  <c:v>63</c:v>
                </c:pt>
              </c:numCache>
            </c:numRef>
          </c:val>
          <c:smooth val="0"/>
        </c:ser>
        <c:dLbls>
          <c:showLegendKey val="0"/>
          <c:showVal val="0"/>
          <c:showCatName val="0"/>
          <c:showSerName val="0"/>
          <c:showPercent val="0"/>
          <c:showBubbleSize val="0"/>
        </c:dLbls>
        <c:marker val="1"/>
        <c:smooth val="0"/>
        <c:axId val="152230528"/>
        <c:axId val="151921024"/>
      </c:lineChart>
      <c:catAx>
        <c:axId val="152230528"/>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1921024"/>
        <c:crosses val="autoZero"/>
        <c:auto val="1"/>
        <c:lblAlgn val="ctr"/>
        <c:lblOffset val="100"/>
        <c:noMultiLvlLbl val="0"/>
      </c:catAx>
      <c:valAx>
        <c:axId val="151921024"/>
        <c:scaling>
          <c:orientation val="minMax"/>
        </c:scaling>
        <c:delete val="0"/>
        <c:axPos val="l"/>
        <c:majorGridlines/>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Number of new cases per year per 100,000</a:t>
                </a:r>
              </a:p>
            </c:rich>
          </c:tx>
          <c:layout/>
          <c:overlay val="0"/>
        </c:title>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2230528"/>
        <c:crosses val="autoZero"/>
        <c:crossBetween val="between"/>
      </c:valAx>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Figure 3: Tampa-St. Pete EMA</a:t>
            </a:r>
          </a:p>
          <a:p>
            <a:pPr>
              <a:defRPr>
                <a:latin typeface="Times New Roman" panose="02020603050405020304" pitchFamily="18" charset="0"/>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AIDS Incidence by Race/Ethnicity </a:t>
            </a:r>
            <a:endParaRPr lang="en-US" sz="1200" b="1">
              <a:latin typeface="Times New Roman" panose="02020603050405020304" pitchFamily="18" charset="0"/>
              <a:cs typeface="Times New Roman" panose="02020603050405020304" pitchFamily="18" charset="0"/>
            </a:endParaRPr>
          </a:p>
        </c:rich>
      </c:tx>
      <c:layout/>
      <c:overlay val="0"/>
    </c:title>
    <c:autoTitleDeleted val="0"/>
    <c:plotArea>
      <c:layout/>
      <c:lineChart>
        <c:grouping val="standard"/>
        <c:varyColors val="0"/>
        <c:ser>
          <c:idx val="0"/>
          <c:order val="0"/>
          <c:tx>
            <c:strRef>
              <c:f>Sheet1!$B$1</c:f>
              <c:strCache>
                <c:ptCount val="1"/>
                <c:pt idx="0">
                  <c:v>White </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138</c:v>
                </c:pt>
                <c:pt idx="1">
                  <c:v>148</c:v>
                </c:pt>
                <c:pt idx="2">
                  <c:v>141</c:v>
                </c:pt>
                <c:pt idx="3">
                  <c:v>113</c:v>
                </c:pt>
                <c:pt idx="4">
                  <c:v>112</c:v>
                </c:pt>
              </c:numCache>
            </c:numRef>
          </c:val>
          <c:smooth val="0"/>
        </c:ser>
        <c:ser>
          <c:idx val="1"/>
          <c:order val="1"/>
          <c:tx>
            <c:strRef>
              <c:f>Sheet1!$C$1</c:f>
              <c:strCache>
                <c:ptCount val="1"/>
                <c:pt idx="0">
                  <c:v>Black</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154</c:v>
                </c:pt>
                <c:pt idx="1">
                  <c:v>161</c:v>
                </c:pt>
                <c:pt idx="2">
                  <c:v>145</c:v>
                </c:pt>
                <c:pt idx="3">
                  <c:v>145</c:v>
                </c:pt>
                <c:pt idx="4">
                  <c:v>133</c:v>
                </c:pt>
              </c:numCache>
            </c:numRef>
          </c:val>
          <c:smooth val="0"/>
        </c:ser>
        <c:ser>
          <c:idx val="2"/>
          <c:order val="2"/>
          <c:tx>
            <c:strRef>
              <c:f>Sheet1!$D$1</c:f>
              <c:strCache>
                <c:ptCount val="1"/>
                <c:pt idx="0">
                  <c:v>Hispanic</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48</c:v>
                </c:pt>
                <c:pt idx="1">
                  <c:v>49</c:v>
                </c:pt>
                <c:pt idx="2">
                  <c:v>52</c:v>
                </c:pt>
                <c:pt idx="3">
                  <c:v>63</c:v>
                </c:pt>
                <c:pt idx="4">
                  <c:v>56</c:v>
                </c:pt>
              </c:numCache>
            </c:numRef>
          </c:val>
          <c:smooth val="0"/>
        </c:ser>
        <c:ser>
          <c:idx val="3"/>
          <c:order val="3"/>
          <c:tx>
            <c:strRef>
              <c:f>Sheet1!$E$1</c:f>
              <c:strCache>
                <c:ptCount val="1"/>
                <c:pt idx="0">
                  <c:v>Other</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Sheet1!$E$2:$E$6</c:f>
              <c:numCache>
                <c:formatCode>General</c:formatCode>
                <c:ptCount val="5"/>
                <c:pt idx="0">
                  <c:v>7</c:v>
                </c:pt>
                <c:pt idx="1">
                  <c:v>7</c:v>
                </c:pt>
                <c:pt idx="2">
                  <c:v>13</c:v>
                </c:pt>
                <c:pt idx="3">
                  <c:v>15</c:v>
                </c:pt>
                <c:pt idx="4">
                  <c:v>8</c:v>
                </c:pt>
              </c:numCache>
            </c:numRef>
          </c:val>
          <c:smooth val="0"/>
        </c:ser>
        <c:dLbls>
          <c:showLegendKey val="0"/>
          <c:showVal val="0"/>
          <c:showCatName val="0"/>
          <c:showSerName val="0"/>
          <c:showPercent val="0"/>
          <c:showBubbleSize val="0"/>
        </c:dLbls>
        <c:marker val="1"/>
        <c:smooth val="0"/>
        <c:axId val="66542976"/>
        <c:axId val="66545152"/>
      </c:lineChart>
      <c:catAx>
        <c:axId val="66542976"/>
        <c:scaling>
          <c:orientation val="minMax"/>
        </c:scaling>
        <c:delete val="0"/>
        <c:axPos val="b"/>
        <c:title>
          <c:tx>
            <c:rich>
              <a:bodyPr/>
              <a:lstStyle/>
              <a:p>
                <a:pPr>
                  <a:defRPr/>
                </a:pPr>
                <a:r>
                  <a:rPr lang="en-US" b="0">
                    <a:latin typeface="Times New Roman" panose="02020603050405020304" pitchFamily="18" charset="0"/>
                    <a:cs typeface="Times New Roman" panose="02020603050405020304" pitchFamily="18" charset="0"/>
                  </a:rPr>
                  <a:t>Year</a:t>
                </a:r>
              </a:p>
            </c:rich>
          </c:tx>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66545152"/>
        <c:crosses val="autoZero"/>
        <c:auto val="1"/>
        <c:lblAlgn val="ctr"/>
        <c:lblOffset val="100"/>
        <c:noMultiLvlLbl val="0"/>
      </c:catAx>
      <c:valAx>
        <c:axId val="66545152"/>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Cases</a:t>
                </a:r>
              </a:p>
            </c:rich>
          </c:tx>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66542976"/>
        <c:crosses val="autoZero"/>
        <c:crossBetween val="between"/>
      </c:valAx>
    </c:plotArea>
    <c:legend>
      <c:legendPos val="r"/>
      <c:layout>
        <c:manualLayout>
          <c:xMode val="edge"/>
          <c:yMode val="edge"/>
          <c:x val="0.66949464457820385"/>
          <c:y val="0.33505446992184917"/>
          <c:w val="0.29652215839168855"/>
          <c:h val="0.4198042534402826"/>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latin typeface="Times New Roman" panose="02020603050405020304" pitchFamily="18" charset="0"/>
                <a:cs typeface="Times New Roman" panose="02020603050405020304" pitchFamily="18" charset="0"/>
              </a:rPr>
              <a:t>Figure</a:t>
            </a:r>
            <a:r>
              <a:rPr lang="en-US" sz="1050" baseline="0">
                <a:latin typeface="Times New Roman" panose="02020603050405020304" pitchFamily="18" charset="0"/>
                <a:cs typeface="Times New Roman" panose="02020603050405020304" pitchFamily="18" charset="0"/>
              </a:rPr>
              <a:t> 6: </a:t>
            </a:r>
            <a:r>
              <a:rPr lang="en-US" sz="1050">
                <a:latin typeface="Times New Roman" panose="02020603050405020304" pitchFamily="18" charset="0"/>
                <a:cs typeface="Times New Roman" panose="02020603050405020304" pitchFamily="18" charset="0"/>
              </a:rPr>
              <a:t>Tampa</a:t>
            </a:r>
            <a:r>
              <a:rPr lang="en-US" sz="1050" baseline="0">
                <a:latin typeface="Times New Roman" panose="02020603050405020304" pitchFamily="18" charset="0"/>
                <a:cs typeface="Times New Roman" panose="02020603050405020304" pitchFamily="18" charset="0"/>
              </a:rPr>
              <a:t>-St. Petersburg EMA</a:t>
            </a:r>
            <a:r>
              <a:rPr lang="en-US" sz="1050">
                <a:latin typeface="Times New Roman" panose="02020603050405020304" pitchFamily="18" charset="0"/>
                <a:cs typeface="Times New Roman" panose="02020603050405020304" pitchFamily="18" charset="0"/>
              </a:rPr>
              <a:t> HIV/AIDS Case Deaths</a:t>
            </a:r>
            <a:r>
              <a:rPr lang="en-US" sz="1050" baseline="0">
                <a:latin typeface="Times New Roman" panose="02020603050405020304" pitchFamily="18" charset="0"/>
                <a:cs typeface="Times New Roman" panose="02020603050405020304" pitchFamily="18" charset="0"/>
              </a:rPr>
              <a:t> (regardless of cause) by Race/Ethnicity, 2011-2015</a:t>
            </a:r>
            <a:endParaRPr lang="en-US" sz="1050">
              <a:latin typeface="Times New Roman" panose="02020603050405020304" pitchFamily="18" charset="0"/>
              <a:cs typeface="Times New Roman" panose="02020603050405020304" pitchFamily="18" charset="0"/>
            </a:endParaRPr>
          </a:p>
        </c:rich>
      </c:tx>
      <c:layout/>
      <c:overlay val="0"/>
    </c:title>
    <c:autoTitleDeleted val="0"/>
    <c:plotArea>
      <c:layout>
        <c:manualLayout>
          <c:layoutTarget val="inner"/>
          <c:xMode val="edge"/>
          <c:yMode val="edge"/>
          <c:x val="9.0649038461538475E-2"/>
          <c:y val="0.23031478368574715"/>
          <c:w val="0.70104519987886127"/>
          <c:h val="0.6621795983367248"/>
        </c:manualLayout>
      </c:layout>
      <c:lineChart>
        <c:grouping val="standard"/>
        <c:varyColors val="0"/>
        <c:ser>
          <c:idx val="0"/>
          <c:order val="0"/>
          <c:tx>
            <c:strRef>
              <c:f>Sheet1!$B$1</c:f>
              <c:strCache>
                <c:ptCount val="1"/>
                <c:pt idx="0">
                  <c:v>White</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115</c:v>
                </c:pt>
                <c:pt idx="1">
                  <c:v>88</c:v>
                </c:pt>
                <c:pt idx="2">
                  <c:v>116</c:v>
                </c:pt>
                <c:pt idx="3">
                  <c:v>104</c:v>
                </c:pt>
                <c:pt idx="4">
                  <c:v>134</c:v>
                </c:pt>
              </c:numCache>
            </c:numRef>
          </c:val>
          <c:smooth val="0"/>
        </c:ser>
        <c:ser>
          <c:idx val="1"/>
          <c:order val="1"/>
          <c:tx>
            <c:strRef>
              <c:f>Sheet1!$C$1</c:f>
              <c:strCache>
                <c:ptCount val="1"/>
                <c:pt idx="0">
                  <c:v>Black</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77</c:v>
                </c:pt>
                <c:pt idx="1">
                  <c:v>87</c:v>
                </c:pt>
                <c:pt idx="2">
                  <c:v>79</c:v>
                </c:pt>
                <c:pt idx="3">
                  <c:v>88</c:v>
                </c:pt>
                <c:pt idx="4">
                  <c:v>98</c:v>
                </c:pt>
              </c:numCache>
            </c:numRef>
          </c:val>
          <c:smooth val="0"/>
        </c:ser>
        <c:ser>
          <c:idx val="2"/>
          <c:order val="2"/>
          <c:tx>
            <c:strRef>
              <c:f>Sheet1!$D$1</c:f>
              <c:strCache>
                <c:ptCount val="1"/>
                <c:pt idx="0">
                  <c:v>Hispanic</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24</c:v>
                </c:pt>
                <c:pt idx="1">
                  <c:v>25</c:v>
                </c:pt>
                <c:pt idx="2">
                  <c:v>28</c:v>
                </c:pt>
                <c:pt idx="3">
                  <c:v>28</c:v>
                </c:pt>
                <c:pt idx="4">
                  <c:v>35</c:v>
                </c:pt>
              </c:numCache>
            </c:numRef>
          </c:val>
          <c:smooth val="0"/>
        </c:ser>
        <c:ser>
          <c:idx val="3"/>
          <c:order val="3"/>
          <c:tx>
            <c:strRef>
              <c:f>Sheet1!$E$1</c:f>
              <c:strCache>
                <c:ptCount val="1"/>
                <c:pt idx="0">
                  <c:v>Other</c:v>
                </c:pt>
              </c:strCache>
            </c:strRef>
          </c:tx>
          <c:cat>
            <c:numRef>
              <c:f>Sheet1!$A$2:$A$6</c:f>
              <c:numCache>
                <c:formatCode>General</c:formatCode>
                <c:ptCount val="5"/>
                <c:pt idx="0">
                  <c:v>2011</c:v>
                </c:pt>
                <c:pt idx="1">
                  <c:v>2012</c:v>
                </c:pt>
                <c:pt idx="2">
                  <c:v>2013</c:v>
                </c:pt>
                <c:pt idx="3">
                  <c:v>2014</c:v>
                </c:pt>
                <c:pt idx="4">
                  <c:v>2015</c:v>
                </c:pt>
              </c:numCache>
            </c:numRef>
          </c:cat>
          <c:val>
            <c:numRef>
              <c:f>Sheet1!$E$2:$E$6</c:f>
              <c:numCache>
                <c:formatCode>General</c:formatCode>
                <c:ptCount val="5"/>
                <c:pt idx="0">
                  <c:v>7</c:v>
                </c:pt>
                <c:pt idx="1">
                  <c:v>4</c:v>
                </c:pt>
                <c:pt idx="2">
                  <c:v>12</c:v>
                </c:pt>
                <c:pt idx="3">
                  <c:v>5</c:v>
                </c:pt>
                <c:pt idx="4">
                  <c:v>10</c:v>
                </c:pt>
              </c:numCache>
            </c:numRef>
          </c:val>
          <c:smooth val="0"/>
        </c:ser>
        <c:dLbls>
          <c:showLegendKey val="0"/>
          <c:showVal val="0"/>
          <c:showCatName val="0"/>
          <c:showSerName val="0"/>
          <c:showPercent val="0"/>
          <c:showBubbleSize val="0"/>
        </c:dLbls>
        <c:marker val="1"/>
        <c:smooth val="0"/>
        <c:axId val="66568960"/>
        <c:axId val="66570496"/>
      </c:lineChart>
      <c:catAx>
        <c:axId val="66568960"/>
        <c:scaling>
          <c:orientation val="minMax"/>
        </c:scaling>
        <c:delete val="0"/>
        <c:axPos val="b"/>
        <c:numFmt formatCode="General" sourceLinked="1"/>
        <c:majorTickMark val="out"/>
        <c:minorTickMark val="none"/>
        <c:tickLblPos val="nextTo"/>
        <c:txPr>
          <a:bodyPr/>
          <a:lstStyle/>
          <a:p>
            <a:pPr>
              <a:defRPr sz="1000" baseline="0">
                <a:latin typeface="Times New Roman" panose="02020603050405020304" pitchFamily="18" charset="0"/>
                <a:cs typeface="Times New Roman" panose="02020603050405020304" pitchFamily="18" charset="0"/>
              </a:defRPr>
            </a:pPr>
            <a:endParaRPr lang="en-US"/>
          </a:p>
        </c:txPr>
        <c:crossAx val="66570496"/>
        <c:crosses val="autoZero"/>
        <c:auto val="1"/>
        <c:lblAlgn val="ctr"/>
        <c:lblOffset val="100"/>
        <c:noMultiLvlLbl val="0"/>
      </c:catAx>
      <c:valAx>
        <c:axId val="66570496"/>
        <c:scaling>
          <c:orientation val="minMax"/>
        </c:scaling>
        <c:delete val="0"/>
        <c:axPos val="l"/>
        <c:majorGridlines/>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66568960"/>
        <c:crosses val="autoZero"/>
        <c:crossBetween val="between"/>
      </c:valAx>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a:t>Figure 7: Adults with an Unwanted Sexual Experience in the Past 12 Months, Overall, 2007</a:t>
            </a:r>
          </a:p>
        </c:rich>
      </c:tx>
      <c:layout/>
      <c:overlay val="0"/>
    </c:title>
    <c:autoTitleDeleted val="0"/>
    <c:plotArea>
      <c:layout/>
      <c:barChart>
        <c:barDir val="col"/>
        <c:grouping val="clustered"/>
        <c:varyColors val="0"/>
        <c:ser>
          <c:idx val="0"/>
          <c:order val="0"/>
          <c:tx>
            <c:strRef>
              <c:f>Sheet1!$B$1</c:f>
              <c:strCache>
                <c:ptCount val="1"/>
                <c:pt idx="0">
                  <c:v>Adults who had an unwanted sexual experience in the past 12 months, Overall, 2007</c:v>
                </c:pt>
              </c:strCache>
            </c:strRef>
          </c:tx>
          <c:spPr>
            <a:solidFill>
              <a:srgbClr val="00B050"/>
            </a:solidFill>
            <a:ln>
              <a:solidFill>
                <a:srgbClr val="00B050"/>
              </a:solidFill>
            </a:ln>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State of Florida</c:v>
                </c:pt>
                <c:pt idx="1">
                  <c:v>Hernando</c:v>
                </c:pt>
                <c:pt idx="2">
                  <c:v>Hillsborough</c:v>
                </c:pt>
                <c:pt idx="3">
                  <c:v>Pasco</c:v>
                </c:pt>
                <c:pt idx="4">
                  <c:v>Pinellas</c:v>
                </c:pt>
              </c:strCache>
            </c:strRef>
          </c:cat>
          <c:val>
            <c:numRef>
              <c:f>Sheet1!$B$2:$B$6</c:f>
              <c:numCache>
                <c:formatCode>General</c:formatCode>
                <c:ptCount val="5"/>
                <c:pt idx="0">
                  <c:v>6.7</c:v>
                </c:pt>
                <c:pt idx="1">
                  <c:v>6.9</c:v>
                </c:pt>
                <c:pt idx="2">
                  <c:v>7.1</c:v>
                </c:pt>
                <c:pt idx="3">
                  <c:v>9.6</c:v>
                </c:pt>
                <c:pt idx="4">
                  <c:v>7.9</c:v>
                </c:pt>
              </c:numCache>
            </c:numRef>
          </c:val>
        </c:ser>
        <c:dLbls>
          <c:showLegendKey val="0"/>
          <c:showVal val="1"/>
          <c:showCatName val="0"/>
          <c:showSerName val="0"/>
          <c:showPercent val="0"/>
          <c:showBubbleSize val="0"/>
        </c:dLbls>
        <c:gapWidth val="150"/>
        <c:overlap val="-25"/>
        <c:axId val="100013952"/>
        <c:axId val="100020992"/>
      </c:barChart>
      <c:catAx>
        <c:axId val="100013952"/>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00020992"/>
        <c:crosses val="autoZero"/>
        <c:auto val="1"/>
        <c:lblAlgn val="ctr"/>
        <c:lblOffset val="100"/>
        <c:noMultiLvlLbl val="0"/>
      </c:catAx>
      <c:valAx>
        <c:axId val="100020992"/>
        <c:scaling>
          <c:orientation val="minMax"/>
        </c:scaling>
        <c:delete val="1"/>
        <c:axPos val="l"/>
        <c:numFmt formatCode="General" sourceLinked="1"/>
        <c:majorTickMark val="out"/>
        <c:minorTickMark val="none"/>
        <c:tickLblPos val="nextTo"/>
        <c:crossAx val="10001395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Figure 8:</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Health Care Access &amp; Coverage </a:t>
            </a:r>
          </a:p>
          <a:p>
            <a:pPr>
              <a:defRPr/>
            </a:pPr>
            <a:r>
              <a:rPr lang="en-US" sz="1200">
                <a:latin typeface="Times New Roman" panose="02020603050405020304" pitchFamily="18" charset="0"/>
                <a:cs typeface="Times New Roman" panose="02020603050405020304" pitchFamily="18" charset="0"/>
              </a:rPr>
              <a:t>by County &amp; Florida, 2015</a:t>
            </a:r>
          </a:p>
        </c:rich>
      </c:tx>
      <c:layout/>
      <c:overlay val="0"/>
    </c:title>
    <c:autoTitleDeleted val="0"/>
    <c:plotArea>
      <c:layout/>
      <c:barChart>
        <c:barDir val="col"/>
        <c:grouping val="clustered"/>
        <c:varyColors val="0"/>
        <c:ser>
          <c:idx val="0"/>
          <c:order val="0"/>
          <c:tx>
            <c:strRef>
              <c:f>Sheet1!$B$1</c:f>
              <c:strCache>
                <c:ptCount val="1"/>
                <c:pt idx="0">
                  <c:v>Perentage of adults with any type of health care insurance coverage</c:v>
                </c:pt>
              </c:strCache>
            </c:strRef>
          </c:tx>
          <c:invertIfNegative val="0"/>
          <c:cat>
            <c:strRef>
              <c:f>Sheet1!$A$2:$A$6</c:f>
              <c:strCache>
                <c:ptCount val="5"/>
                <c:pt idx="0">
                  <c:v>Hernando</c:v>
                </c:pt>
                <c:pt idx="1">
                  <c:v>Hillsborough</c:v>
                </c:pt>
                <c:pt idx="2">
                  <c:v>Pasco</c:v>
                </c:pt>
                <c:pt idx="3">
                  <c:v>Pinellas</c:v>
                </c:pt>
                <c:pt idx="4">
                  <c:v>State of Florida</c:v>
                </c:pt>
              </c:strCache>
            </c:strRef>
          </c:cat>
          <c:val>
            <c:numRef>
              <c:f>Sheet1!$B$2:$B$6</c:f>
              <c:numCache>
                <c:formatCode>General</c:formatCode>
                <c:ptCount val="5"/>
                <c:pt idx="0">
                  <c:v>87.2</c:v>
                </c:pt>
                <c:pt idx="1">
                  <c:v>80.900000000000006</c:v>
                </c:pt>
                <c:pt idx="2">
                  <c:v>83.8</c:v>
                </c:pt>
                <c:pt idx="3">
                  <c:v>80.2</c:v>
                </c:pt>
                <c:pt idx="4">
                  <c:v>77.099999999999994</c:v>
                </c:pt>
              </c:numCache>
            </c:numRef>
          </c:val>
        </c:ser>
        <c:ser>
          <c:idx val="1"/>
          <c:order val="1"/>
          <c:tx>
            <c:strRef>
              <c:f>Sheet1!$C$1</c:f>
              <c:strCache>
                <c:ptCount val="1"/>
                <c:pt idx="0">
                  <c:v>Percentage of adults who have a personal doctor</c:v>
                </c:pt>
              </c:strCache>
            </c:strRef>
          </c:tx>
          <c:invertIfNegative val="0"/>
          <c:cat>
            <c:strRef>
              <c:f>Sheet1!$A$2:$A$6</c:f>
              <c:strCache>
                <c:ptCount val="5"/>
                <c:pt idx="0">
                  <c:v>Hernando</c:v>
                </c:pt>
                <c:pt idx="1">
                  <c:v>Hillsborough</c:v>
                </c:pt>
                <c:pt idx="2">
                  <c:v>Pasco</c:v>
                </c:pt>
                <c:pt idx="3">
                  <c:v>Pinellas</c:v>
                </c:pt>
                <c:pt idx="4">
                  <c:v>State of Florida</c:v>
                </c:pt>
              </c:strCache>
            </c:strRef>
          </c:cat>
          <c:val>
            <c:numRef>
              <c:f>Sheet1!$C$2:$C$6</c:f>
              <c:numCache>
                <c:formatCode>General</c:formatCode>
                <c:ptCount val="5"/>
                <c:pt idx="0">
                  <c:v>83.7</c:v>
                </c:pt>
                <c:pt idx="1">
                  <c:v>74.3</c:v>
                </c:pt>
                <c:pt idx="2">
                  <c:v>77.2</c:v>
                </c:pt>
                <c:pt idx="3">
                  <c:v>79.2</c:v>
                </c:pt>
                <c:pt idx="4">
                  <c:v>73.2</c:v>
                </c:pt>
              </c:numCache>
            </c:numRef>
          </c:val>
        </c:ser>
        <c:ser>
          <c:idx val="2"/>
          <c:order val="2"/>
          <c:tx>
            <c:strRef>
              <c:f>Sheet1!$D$1</c:f>
              <c:strCache>
                <c:ptCount val="1"/>
                <c:pt idx="0">
                  <c:v>Percentage of adults who could not see a doctor in the past year due to cost</c:v>
                </c:pt>
              </c:strCache>
            </c:strRef>
          </c:tx>
          <c:invertIfNegative val="0"/>
          <c:cat>
            <c:strRef>
              <c:f>Sheet1!$A$2:$A$6</c:f>
              <c:strCache>
                <c:ptCount val="5"/>
                <c:pt idx="0">
                  <c:v>Hernando</c:v>
                </c:pt>
                <c:pt idx="1">
                  <c:v>Hillsborough</c:v>
                </c:pt>
                <c:pt idx="2">
                  <c:v>Pasco</c:v>
                </c:pt>
                <c:pt idx="3">
                  <c:v>Pinellas</c:v>
                </c:pt>
                <c:pt idx="4">
                  <c:v>State of Florida</c:v>
                </c:pt>
              </c:strCache>
            </c:strRef>
          </c:cat>
          <c:val>
            <c:numRef>
              <c:f>Sheet1!$D$2:$D$6</c:f>
              <c:numCache>
                <c:formatCode>General</c:formatCode>
                <c:ptCount val="5"/>
                <c:pt idx="0">
                  <c:v>19.600000000000001</c:v>
                </c:pt>
                <c:pt idx="1">
                  <c:v>17.3</c:v>
                </c:pt>
                <c:pt idx="2">
                  <c:v>15.5</c:v>
                </c:pt>
                <c:pt idx="3">
                  <c:v>16.3</c:v>
                </c:pt>
                <c:pt idx="4">
                  <c:v>20.8</c:v>
                </c:pt>
              </c:numCache>
            </c:numRef>
          </c:val>
        </c:ser>
        <c:ser>
          <c:idx val="3"/>
          <c:order val="3"/>
          <c:tx>
            <c:strRef>
              <c:f>Sheet1!$E$1</c:f>
              <c:strCache>
                <c:ptCount val="1"/>
                <c:pt idx="0">
                  <c:v>Percentage of adults who had a medical checkup in the past year</c:v>
                </c:pt>
              </c:strCache>
            </c:strRef>
          </c:tx>
          <c:invertIfNegative val="0"/>
          <c:cat>
            <c:strRef>
              <c:f>Sheet1!$A$2:$A$6</c:f>
              <c:strCache>
                <c:ptCount val="5"/>
                <c:pt idx="0">
                  <c:v>Hernando</c:v>
                </c:pt>
                <c:pt idx="1">
                  <c:v>Hillsborough</c:v>
                </c:pt>
                <c:pt idx="2">
                  <c:v>Pasco</c:v>
                </c:pt>
                <c:pt idx="3">
                  <c:v>Pinellas</c:v>
                </c:pt>
                <c:pt idx="4">
                  <c:v>State of Florida</c:v>
                </c:pt>
              </c:strCache>
            </c:strRef>
          </c:cat>
          <c:val>
            <c:numRef>
              <c:f>Sheet1!$E$2:$E$6</c:f>
              <c:numCache>
                <c:formatCode>General</c:formatCode>
                <c:ptCount val="5"/>
                <c:pt idx="0">
                  <c:v>73.099999999999994</c:v>
                </c:pt>
                <c:pt idx="1">
                  <c:v>70.900000000000006</c:v>
                </c:pt>
                <c:pt idx="2">
                  <c:v>71.3</c:v>
                </c:pt>
                <c:pt idx="3">
                  <c:v>71.2</c:v>
                </c:pt>
                <c:pt idx="4">
                  <c:v>70.3</c:v>
                </c:pt>
              </c:numCache>
            </c:numRef>
          </c:val>
        </c:ser>
        <c:dLbls>
          <c:showLegendKey val="0"/>
          <c:showVal val="0"/>
          <c:showCatName val="0"/>
          <c:showSerName val="0"/>
          <c:showPercent val="0"/>
          <c:showBubbleSize val="0"/>
        </c:dLbls>
        <c:gapWidth val="150"/>
        <c:axId val="110185088"/>
        <c:axId val="110186880"/>
      </c:barChart>
      <c:catAx>
        <c:axId val="11018508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0186880"/>
        <c:crosses val="autoZero"/>
        <c:auto val="1"/>
        <c:lblAlgn val="ctr"/>
        <c:lblOffset val="100"/>
        <c:noMultiLvlLbl val="0"/>
      </c:catAx>
      <c:valAx>
        <c:axId val="11018688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0185088"/>
        <c:crosses val="autoZero"/>
        <c:crossBetween val="between"/>
      </c:valAx>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Figure 9:</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HIV</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Testing Completed by Race   </a:t>
            </a:r>
          </a:p>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Tampa-St. Pete EMA</a:t>
            </a:r>
          </a:p>
        </c:rich>
      </c:tx>
      <c:layout/>
      <c:overlay val="0"/>
    </c:title>
    <c:autoTitleDeleted val="0"/>
    <c:plotArea>
      <c:layout/>
      <c:lineChart>
        <c:grouping val="standard"/>
        <c:varyColors val="0"/>
        <c:ser>
          <c:idx val="0"/>
          <c:order val="0"/>
          <c:tx>
            <c:strRef>
              <c:f>Sheet1!$B$1</c:f>
              <c:strCache>
                <c:ptCount val="1"/>
                <c:pt idx="0">
                  <c:v>White</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#,##0</c:formatCode>
                <c:ptCount val="5"/>
                <c:pt idx="0">
                  <c:v>17151</c:v>
                </c:pt>
                <c:pt idx="1">
                  <c:v>15510</c:v>
                </c:pt>
                <c:pt idx="2">
                  <c:v>15973</c:v>
                </c:pt>
                <c:pt idx="3">
                  <c:v>14786</c:v>
                </c:pt>
                <c:pt idx="4">
                  <c:v>15694</c:v>
                </c:pt>
              </c:numCache>
            </c:numRef>
          </c:val>
          <c:smooth val="0"/>
        </c:ser>
        <c:ser>
          <c:idx val="1"/>
          <c:order val="1"/>
          <c:tx>
            <c:strRef>
              <c:f>Sheet1!$C$1</c:f>
              <c:strCache>
                <c:ptCount val="1"/>
                <c:pt idx="0">
                  <c:v>Black</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#,##0</c:formatCode>
                <c:ptCount val="5"/>
                <c:pt idx="0">
                  <c:v>17007</c:v>
                </c:pt>
                <c:pt idx="1">
                  <c:v>14753</c:v>
                </c:pt>
                <c:pt idx="2">
                  <c:v>15139</c:v>
                </c:pt>
                <c:pt idx="3">
                  <c:v>13548</c:v>
                </c:pt>
                <c:pt idx="4">
                  <c:v>12887</c:v>
                </c:pt>
              </c:numCache>
            </c:numRef>
          </c:val>
          <c:smooth val="0"/>
        </c:ser>
        <c:ser>
          <c:idx val="2"/>
          <c:order val="2"/>
          <c:tx>
            <c:strRef>
              <c:f>Sheet1!$D$1</c:f>
              <c:strCache>
                <c:ptCount val="1"/>
                <c:pt idx="0">
                  <c:v>Hispanic</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#,##0</c:formatCode>
                <c:ptCount val="5"/>
                <c:pt idx="0">
                  <c:v>8425</c:v>
                </c:pt>
                <c:pt idx="1">
                  <c:v>6670</c:v>
                </c:pt>
                <c:pt idx="2">
                  <c:v>6616</c:v>
                </c:pt>
                <c:pt idx="3">
                  <c:v>6335</c:v>
                </c:pt>
                <c:pt idx="4">
                  <c:v>6225</c:v>
                </c:pt>
              </c:numCache>
            </c:numRef>
          </c:val>
          <c:smooth val="0"/>
        </c:ser>
        <c:ser>
          <c:idx val="3"/>
          <c:order val="3"/>
          <c:tx>
            <c:strRef>
              <c:f>Sheet1!$E$1</c:f>
              <c:strCache>
                <c:ptCount val="1"/>
                <c:pt idx="0">
                  <c:v>Other </c:v>
                </c:pt>
              </c:strCache>
            </c:strRef>
          </c:tx>
          <c:cat>
            <c:numRef>
              <c:f>Sheet1!$A$2:$A$6</c:f>
              <c:numCache>
                <c:formatCode>General</c:formatCode>
                <c:ptCount val="5"/>
                <c:pt idx="0">
                  <c:v>2011</c:v>
                </c:pt>
                <c:pt idx="1">
                  <c:v>2012</c:v>
                </c:pt>
                <c:pt idx="2">
                  <c:v>2013</c:v>
                </c:pt>
                <c:pt idx="3">
                  <c:v>2014</c:v>
                </c:pt>
                <c:pt idx="4">
                  <c:v>2015</c:v>
                </c:pt>
              </c:numCache>
            </c:numRef>
          </c:cat>
          <c:val>
            <c:numRef>
              <c:f>Sheet1!$E$2:$E$6</c:f>
              <c:numCache>
                <c:formatCode>#,##0</c:formatCode>
                <c:ptCount val="5"/>
                <c:pt idx="0">
                  <c:v>1983</c:v>
                </c:pt>
                <c:pt idx="1">
                  <c:v>1851</c:v>
                </c:pt>
                <c:pt idx="2">
                  <c:v>1927</c:v>
                </c:pt>
                <c:pt idx="3">
                  <c:v>1843</c:v>
                </c:pt>
                <c:pt idx="4">
                  <c:v>1751</c:v>
                </c:pt>
              </c:numCache>
            </c:numRef>
          </c:val>
          <c:smooth val="0"/>
        </c:ser>
        <c:dLbls>
          <c:showLegendKey val="0"/>
          <c:showVal val="0"/>
          <c:showCatName val="0"/>
          <c:showSerName val="0"/>
          <c:showPercent val="0"/>
          <c:showBubbleSize val="0"/>
        </c:dLbls>
        <c:marker val="1"/>
        <c:smooth val="0"/>
        <c:axId val="110226048"/>
        <c:axId val="110633344"/>
      </c:lineChart>
      <c:catAx>
        <c:axId val="110226048"/>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0633344"/>
        <c:crosses val="autoZero"/>
        <c:auto val="1"/>
        <c:lblAlgn val="ctr"/>
        <c:lblOffset val="100"/>
        <c:noMultiLvlLbl val="0"/>
      </c:catAx>
      <c:valAx>
        <c:axId val="110633344"/>
        <c:scaling>
          <c:orientation val="minMax"/>
        </c:scaling>
        <c:delete val="0"/>
        <c:axPos val="l"/>
        <c:majorGridlines/>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0226048"/>
        <c:crosses val="autoZero"/>
        <c:crossBetween val="between"/>
      </c:valAx>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12700">
      <a:solidFill>
        <a:schemeClr val="tx1"/>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Figure 10: Percentage of Adults Less than 65 Years of Age who had an HIV test in the Past 12 Months, Overall,</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2013</a:t>
            </a:r>
          </a:p>
        </c:rich>
      </c:tx>
      <c:layout>
        <c:manualLayout>
          <c:xMode val="edge"/>
          <c:yMode val="edge"/>
          <c:x val="0.1306014802812028"/>
          <c:y val="0.10763884514435695"/>
        </c:manualLayout>
      </c:layout>
      <c:overlay val="0"/>
    </c:title>
    <c:autoTitleDeleted val="0"/>
    <c:plotArea>
      <c:layout/>
      <c:barChart>
        <c:barDir val="bar"/>
        <c:grouping val="clustered"/>
        <c:varyColors val="0"/>
        <c:ser>
          <c:idx val="0"/>
          <c:order val="0"/>
          <c:tx>
            <c:strRef>
              <c:f>Sheet1!$B$1</c:f>
              <c:strCache>
                <c:ptCount val="1"/>
                <c:pt idx="0">
                  <c:v>2013</c:v>
                </c:pt>
              </c:strCache>
            </c:strRef>
          </c:tx>
          <c:spPr>
            <a:solidFill>
              <a:srgbClr val="00B050"/>
            </a:solidFill>
            <a:ln>
              <a:solidFill>
                <a:srgbClr val="00B050"/>
              </a:solidFill>
            </a:ln>
          </c:spPr>
          <c:invertIfNegative val="0"/>
          <c:dLbls>
            <c:dLbl>
              <c:idx val="4"/>
              <c:layout/>
              <c:tx>
                <c:rich>
                  <a:bodyPr/>
                  <a:lstStyle/>
                  <a:p>
                    <a:r>
                      <a:rPr lang="en-US"/>
                      <a:t>15.6</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Hernando</c:v>
                </c:pt>
                <c:pt idx="1">
                  <c:v>Hillsborough</c:v>
                </c:pt>
                <c:pt idx="2">
                  <c:v>Pasco</c:v>
                </c:pt>
                <c:pt idx="3">
                  <c:v>Pinellas</c:v>
                </c:pt>
                <c:pt idx="4">
                  <c:v>State of Florida</c:v>
                </c:pt>
              </c:strCache>
            </c:strRef>
          </c:cat>
          <c:val>
            <c:numRef>
              <c:f>Sheet1!$B$2:$B$6</c:f>
              <c:numCache>
                <c:formatCode>General</c:formatCode>
                <c:ptCount val="5"/>
                <c:pt idx="0">
                  <c:v>10.15</c:v>
                </c:pt>
                <c:pt idx="1">
                  <c:v>16.2</c:v>
                </c:pt>
                <c:pt idx="2">
                  <c:v>8.4</c:v>
                </c:pt>
                <c:pt idx="3">
                  <c:v>17.100000000000001</c:v>
                </c:pt>
                <c:pt idx="4">
                  <c:v>15.6</c:v>
                </c:pt>
              </c:numCache>
            </c:numRef>
          </c:val>
        </c:ser>
        <c:dLbls>
          <c:showLegendKey val="0"/>
          <c:showVal val="1"/>
          <c:showCatName val="0"/>
          <c:showSerName val="0"/>
          <c:showPercent val="0"/>
          <c:showBubbleSize val="0"/>
        </c:dLbls>
        <c:gapWidth val="150"/>
        <c:overlap val="-25"/>
        <c:axId val="110686208"/>
        <c:axId val="110688896"/>
      </c:barChart>
      <c:catAx>
        <c:axId val="110686208"/>
        <c:scaling>
          <c:orientation val="minMax"/>
        </c:scaling>
        <c:delete val="0"/>
        <c:axPos val="l"/>
        <c:numFmt formatCode="General" sourceLinked="0"/>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110688896"/>
        <c:crosses val="autoZero"/>
        <c:auto val="1"/>
        <c:lblAlgn val="ctr"/>
        <c:lblOffset val="100"/>
        <c:noMultiLvlLbl val="0"/>
      </c:catAx>
      <c:valAx>
        <c:axId val="110688896"/>
        <c:scaling>
          <c:orientation val="minMax"/>
        </c:scaling>
        <c:delete val="1"/>
        <c:axPos val="b"/>
        <c:numFmt formatCode="General" sourceLinked="1"/>
        <c:majorTickMark val="none"/>
        <c:minorTickMark val="none"/>
        <c:tickLblPos val="nextTo"/>
        <c:crossAx val="110686208"/>
        <c:crosses val="autoZero"/>
        <c:crossBetween val="between"/>
      </c:valAx>
    </c:plotArea>
    <c:plotVisOnly val="1"/>
    <c:dispBlanksAs val="gap"/>
    <c:showDLblsOverMax val="0"/>
  </c:chart>
  <c:spPr>
    <a:ln w="12700"/>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Figure 11: Percentage</a:t>
            </a:r>
            <a:r>
              <a:rPr lang="en-US" sz="1200" baseline="0">
                <a:latin typeface="Times New Roman" panose="02020603050405020304" pitchFamily="18" charset="0"/>
                <a:cs typeface="Times New Roman" panose="02020603050405020304" pitchFamily="18" charset="0"/>
              </a:rPr>
              <a:t> of Ryan White </a:t>
            </a:r>
            <a:r>
              <a: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Client</a:t>
            </a:r>
            <a:r>
              <a:rPr lang="en-US" sz="1200" baseline="0">
                <a:latin typeface="Times New Roman" panose="02020603050405020304" pitchFamily="18" charset="0"/>
                <a:cs typeface="Times New Roman" panose="02020603050405020304" pitchFamily="18" charset="0"/>
              </a:rPr>
              <a:t>s by Gender in the Tampa-St. Petersburg EMA, 2015</a:t>
            </a:r>
            <a:endParaRPr lang="en-US" sz="1200">
              <a:latin typeface="Times New Roman" panose="02020603050405020304" pitchFamily="18" charset="0"/>
              <a:cs typeface="Times New Roman" panose="02020603050405020304" pitchFamily="18" charset="0"/>
            </a:endParaRPr>
          </a:p>
        </c:rich>
      </c:tx>
      <c:layout/>
      <c:overlay val="0"/>
    </c:title>
    <c:autoTitleDeleted val="0"/>
    <c:plotArea>
      <c:layout/>
      <c:barChart>
        <c:barDir val="bar"/>
        <c:grouping val="clustered"/>
        <c:varyColors val="0"/>
        <c:ser>
          <c:idx val="0"/>
          <c:order val="0"/>
          <c:tx>
            <c:strRef>
              <c:f>Sheet1!$B$1</c:f>
              <c:strCache>
                <c:ptCount val="1"/>
                <c:pt idx="0">
                  <c:v>Male</c:v>
                </c:pt>
              </c:strCache>
            </c:strRef>
          </c:tx>
          <c:invertIfNegative val="0"/>
          <c:dLbls>
            <c:dLbl>
              <c:idx val="0"/>
              <c:layout/>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c:f>
              <c:numCache>
                <c:formatCode>General</c:formatCode>
                <c:ptCount val="1"/>
              </c:numCache>
            </c:numRef>
          </c:cat>
          <c:val>
            <c:numRef>
              <c:f>Sheet1!$B$2</c:f>
              <c:numCache>
                <c:formatCode>0.0%</c:formatCode>
                <c:ptCount val="1"/>
                <c:pt idx="0">
                  <c:v>0.72399999999999998</c:v>
                </c:pt>
              </c:numCache>
            </c:numRef>
          </c:val>
        </c:ser>
        <c:ser>
          <c:idx val="1"/>
          <c:order val="1"/>
          <c:tx>
            <c:strRef>
              <c:f>Sheet1!$C$1</c:f>
              <c:strCache>
                <c:ptCount val="1"/>
                <c:pt idx="0">
                  <c:v>Female</c:v>
                </c:pt>
              </c:strCache>
            </c:strRef>
          </c:tx>
          <c:invertIfNegative val="0"/>
          <c:dLbls>
            <c:dLbl>
              <c:idx val="0"/>
              <c:layout/>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c:f>
              <c:numCache>
                <c:formatCode>General</c:formatCode>
                <c:ptCount val="1"/>
              </c:numCache>
            </c:numRef>
          </c:cat>
          <c:val>
            <c:numRef>
              <c:f>Sheet1!$C$2</c:f>
              <c:numCache>
                <c:formatCode>0.0%</c:formatCode>
                <c:ptCount val="1"/>
                <c:pt idx="0">
                  <c:v>0.26600000000000001</c:v>
                </c:pt>
              </c:numCache>
            </c:numRef>
          </c:val>
        </c:ser>
        <c:ser>
          <c:idx val="2"/>
          <c:order val="2"/>
          <c:tx>
            <c:strRef>
              <c:f>Sheet1!$D$1</c:f>
              <c:strCache>
                <c:ptCount val="1"/>
                <c:pt idx="0">
                  <c:v>Transgender</c:v>
                </c:pt>
              </c:strCache>
            </c:strRef>
          </c:tx>
          <c:invertIfNegative val="0"/>
          <c:dLbls>
            <c:dLbl>
              <c:idx val="0"/>
              <c:layout/>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c:f>
              <c:numCache>
                <c:formatCode>General</c:formatCode>
                <c:ptCount val="1"/>
              </c:numCache>
            </c:numRef>
          </c:cat>
          <c:val>
            <c:numRef>
              <c:f>Sheet1!$D$2</c:f>
              <c:numCache>
                <c:formatCode>0.0%</c:formatCode>
                <c:ptCount val="1"/>
                <c:pt idx="0">
                  <c:v>0.01</c:v>
                </c:pt>
              </c:numCache>
            </c:numRef>
          </c:val>
        </c:ser>
        <c:dLbls>
          <c:showLegendKey val="0"/>
          <c:showVal val="0"/>
          <c:showCatName val="0"/>
          <c:showSerName val="0"/>
          <c:showPercent val="0"/>
          <c:showBubbleSize val="0"/>
        </c:dLbls>
        <c:gapWidth val="150"/>
        <c:axId val="134456832"/>
        <c:axId val="134458368"/>
      </c:barChart>
      <c:catAx>
        <c:axId val="134456832"/>
        <c:scaling>
          <c:orientation val="minMax"/>
        </c:scaling>
        <c:delete val="0"/>
        <c:axPos val="l"/>
        <c:numFmt formatCode="General" sourceLinked="1"/>
        <c:majorTickMark val="none"/>
        <c:minorTickMark val="none"/>
        <c:tickLblPos val="nextTo"/>
        <c:crossAx val="134458368"/>
        <c:crosses val="autoZero"/>
        <c:auto val="1"/>
        <c:lblAlgn val="ctr"/>
        <c:lblOffset val="100"/>
        <c:noMultiLvlLbl val="0"/>
      </c:catAx>
      <c:valAx>
        <c:axId val="134458368"/>
        <c:scaling>
          <c:orientation val="minMax"/>
        </c:scaling>
        <c:delete val="0"/>
        <c:axPos val="b"/>
        <c:majorGridlines/>
        <c:title>
          <c:tx>
            <c:rich>
              <a:bodyPr/>
              <a:lstStyle/>
              <a:p>
                <a:pPr>
                  <a:defRPr/>
                </a:pPr>
                <a:r>
                  <a:rPr lang="en-US">
                    <a:latin typeface="Times New Roman" panose="02020603050405020304" pitchFamily="18" charset="0"/>
                    <a:cs typeface="Times New Roman" panose="02020603050405020304" pitchFamily="18" charset="0"/>
                  </a:rPr>
                  <a:t>% of </a:t>
                </a:r>
                <a:r>
                  <a: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Client</a:t>
                </a:r>
                <a:r>
                  <a:rPr lang="en-US">
                    <a:latin typeface="Times New Roman" panose="02020603050405020304" pitchFamily="18" charset="0"/>
                    <a:cs typeface="Times New Roman" panose="02020603050405020304" pitchFamily="18" charset="0"/>
                  </a:rPr>
                  <a:t>s</a:t>
                </a:r>
              </a:p>
            </c:rich>
          </c:tx>
          <c:layout/>
          <c:overlay val="0"/>
        </c:title>
        <c:numFmt formatCode="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34456832"/>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Figure 12: Percentage of  Ryan White </a:t>
            </a:r>
            <a:r>
              <a: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Client</a:t>
            </a:r>
            <a:r>
              <a:rPr lang="en-US" sz="1200">
                <a:latin typeface="Times New Roman" panose="02020603050405020304" pitchFamily="18" charset="0"/>
                <a:cs typeface="Times New Roman" panose="02020603050405020304" pitchFamily="18" charset="0"/>
              </a:rPr>
              <a:t>s by</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Race in the Tampa-St. Petersburg EMA, 2015 </a:t>
            </a:r>
          </a:p>
        </c:rich>
      </c:tx>
      <c:layout>
        <c:manualLayout>
          <c:xMode val="edge"/>
          <c:yMode val="edge"/>
          <c:x val="0.10273735647616775"/>
          <c:y val="3.4696406443618343E-2"/>
        </c:manualLayout>
      </c:layout>
      <c:overlay val="0"/>
    </c:title>
    <c:autoTitleDeleted val="0"/>
    <c:plotArea>
      <c:layout/>
      <c:barChart>
        <c:barDir val="bar"/>
        <c:grouping val="clustered"/>
        <c:varyColors val="0"/>
        <c:ser>
          <c:idx val="0"/>
          <c:order val="0"/>
          <c:tx>
            <c:strRef>
              <c:f>Sheet1!$B$1</c:f>
              <c:strCache>
                <c:ptCount val="1"/>
                <c:pt idx="0">
                  <c:v>Other</c:v>
                </c:pt>
              </c:strCache>
            </c:strRef>
          </c:tx>
          <c:invertIfNegative val="0"/>
          <c:dLbls>
            <c:dLbl>
              <c:idx val="0"/>
              <c:layout/>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c:f>
              <c:strCache>
                <c:ptCount val="1"/>
                <c:pt idx="0">
                  <c:v>Category 1</c:v>
                </c:pt>
              </c:strCache>
            </c:strRef>
          </c:cat>
          <c:val>
            <c:numRef>
              <c:f>Sheet1!$B$2</c:f>
              <c:numCache>
                <c:formatCode>0.0%</c:formatCode>
                <c:ptCount val="1"/>
                <c:pt idx="0">
                  <c:v>1.7000000000000001E-2</c:v>
                </c:pt>
              </c:numCache>
            </c:numRef>
          </c:val>
        </c:ser>
        <c:ser>
          <c:idx val="1"/>
          <c:order val="1"/>
          <c:tx>
            <c:strRef>
              <c:f>Sheet1!$C$1</c:f>
              <c:strCache>
                <c:ptCount val="1"/>
                <c:pt idx="0">
                  <c:v>Hispanic</c:v>
                </c:pt>
              </c:strCache>
            </c:strRef>
          </c:tx>
          <c:invertIfNegative val="0"/>
          <c:dLbls>
            <c:dLbl>
              <c:idx val="0"/>
              <c:layout/>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c:f>
              <c:strCache>
                <c:ptCount val="1"/>
                <c:pt idx="0">
                  <c:v>Category 1</c:v>
                </c:pt>
              </c:strCache>
            </c:strRef>
          </c:cat>
          <c:val>
            <c:numRef>
              <c:f>Sheet1!$C$2</c:f>
              <c:numCache>
                <c:formatCode>0.0%</c:formatCode>
                <c:ptCount val="1"/>
                <c:pt idx="0">
                  <c:v>0.17599999999999999</c:v>
                </c:pt>
              </c:numCache>
            </c:numRef>
          </c:val>
        </c:ser>
        <c:ser>
          <c:idx val="2"/>
          <c:order val="2"/>
          <c:tx>
            <c:strRef>
              <c:f>Sheet1!$D$1</c:f>
              <c:strCache>
                <c:ptCount val="1"/>
                <c:pt idx="0">
                  <c:v>Black</c:v>
                </c:pt>
              </c:strCache>
            </c:strRef>
          </c:tx>
          <c:invertIfNegative val="0"/>
          <c:dLbls>
            <c:dLbl>
              <c:idx val="0"/>
              <c:layout/>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c:f>
              <c:strCache>
                <c:ptCount val="1"/>
                <c:pt idx="0">
                  <c:v>Category 1</c:v>
                </c:pt>
              </c:strCache>
            </c:strRef>
          </c:cat>
          <c:val>
            <c:numRef>
              <c:f>Sheet1!$D$2</c:f>
              <c:numCache>
                <c:formatCode>0.0%</c:formatCode>
                <c:ptCount val="1"/>
                <c:pt idx="0">
                  <c:v>0.4</c:v>
                </c:pt>
              </c:numCache>
            </c:numRef>
          </c:val>
        </c:ser>
        <c:ser>
          <c:idx val="3"/>
          <c:order val="3"/>
          <c:tx>
            <c:strRef>
              <c:f>Sheet1!$E$1</c:f>
              <c:strCache>
                <c:ptCount val="1"/>
                <c:pt idx="0">
                  <c:v>White</c:v>
                </c:pt>
              </c:strCache>
            </c:strRef>
          </c:tx>
          <c:invertIfNegative val="0"/>
          <c:dLbls>
            <c:dLbl>
              <c:idx val="0"/>
              <c:layout/>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c:f>
              <c:strCache>
                <c:ptCount val="1"/>
                <c:pt idx="0">
                  <c:v>Category 1</c:v>
                </c:pt>
              </c:strCache>
            </c:strRef>
          </c:cat>
          <c:val>
            <c:numRef>
              <c:f>Sheet1!$E$2</c:f>
              <c:numCache>
                <c:formatCode>0.0%</c:formatCode>
                <c:ptCount val="1"/>
                <c:pt idx="0">
                  <c:v>0.40100000000000002</c:v>
                </c:pt>
              </c:numCache>
            </c:numRef>
          </c:val>
        </c:ser>
        <c:dLbls>
          <c:showLegendKey val="0"/>
          <c:showVal val="0"/>
          <c:showCatName val="0"/>
          <c:showSerName val="0"/>
          <c:showPercent val="0"/>
          <c:showBubbleSize val="0"/>
        </c:dLbls>
        <c:gapWidth val="150"/>
        <c:axId val="134524288"/>
        <c:axId val="134542464"/>
      </c:barChart>
      <c:catAx>
        <c:axId val="134524288"/>
        <c:scaling>
          <c:orientation val="minMax"/>
        </c:scaling>
        <c:delete val="1"/>
        <c:axPos val="l"/>
        <c:numFmt formatCode="General" sourceLinked="0"/>
        <c:majorTickMark val="none"/>
        <c:minorTickMark val="none"/>
        <c:tickLblPos val="nextTo"/>
        <c:crossAx val="134542464"/>
        <c:crosses val="autoZero"/>
        <c:auto val="1"/>
        <c:lblAlgn val="ctr"/>
        <c:lblOffset val="100"/>
        <c:noMultiLvlLbl val="0"/>
      </c:catAx>
      <c:valAx>
        <c:axId val="134542464"/>
        <c:scaling>
          <c:orientation val="minMax"/>
        </c:scaling>
        <c:delete val="0"/>
        <c:axPos val="b"/>
        <c:majorGridlines/>
        <c:title>
          <c:tx>
            <c:rich>
              <a:bodyPr/>
              <a:lstStyle/>
              <a:p>
                <a:pPr>
                  <a:defRPr/>
                </a:pPr>
                <a:r>
                  <a:rPr lang="en-US">
                    <a:latin typeface="Times New Roman" panose="02020603050405020304" pitchFamily="18" charset="0"/>
                    <a:cs typeface="Times New Roman" panose="02020603050405020304" pitchFamily="18" charset="0"/>
                  </a:rPr>
                  <a:t>% of</a:t>
                </a:r>
                <a:r>
                  <a:rPr lang="en-US" baseline="0">
                    <a:latin typeface="Times New Roman" panose="02020603050405020304" pitchFamily="18" charset="0"/>
                    <a:cs typeface="Times New Roman" panose="02020603050405020304" pitchFamily="18" charset="0"/>
                  </a:rPr>
                  <a:t> </a:t>
                </a:r>
                <a:r>
                  <a: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Client</a:t>
                </a:r>
                <a:r>
                  <a:rPr lang="en-US" baseline="0">
                    <a:latin typeface="Times New Roman" panose="02020603050405020304" pitchFamily="18" charset="0"/>
                    <a:cs typeface="Times New Roman" panose="02020603050405020304" pitchFamily="18" charset="0"/>
                  </a:rPr>
                  <a:t>s</a:t>
                </a:r>
                <a:endParaRPr lang="en-US">
                  <a:latin typeface="Times New Roman" panose="02020603050405020304" pitchFamily="18" charset="0"/>
                  <a:cs typeface="Times New Roman" panose="02020603050405020304" pitchFamily="18" charset="0"/>
                </a:endParaRPr>
              </a:p>
            </c:rich>
          </c:tx>
          <c:layout/>
          <c:overlay val="0"/>
        </c:title>
        <c:numFmt formatCode="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3452428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4CA8D-B629-45E6-8FD6-4CE700884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20</Pages>
  <Words>3261</Words>
  <Characters>18590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Nugent</dc:creator>
  <cp:lastModifiedBy>Naomi Ardjomand-Kermani</cp:lastModifiedBy>
  <cp:revision>22</cp:revision>
  <dcterms:created xsi:type="dcterms:W3CDTF">2017-03-14T19:15:00Z</dcterms:created>
  <dcterms:modified xsi:type="dcterms:W3CDTF">2017-05-10T15:06:00Z</dcterms:modified>
</cp:coreProperties>
</file>